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СООБЩЕНИЕ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принятии решения о подготовке проекта о внесении изменений                             в Правила землепользования и застройки города Пензы, утвержденные приказом Министерства градостроительства и архитектуры                      Пензенской области от 20.05.2022 № 46/ОД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>П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риказом Министерства градостроительства и архитектуры Пензенской области (далее — Министерство) от </w:t>
      </w:r>
      <w:r>
        <w:rPr>
          <w:rFonts w:cs="Times New Roman" w:ascii="Times New Roman" w:hAnsi="Times New Roman"/>
          <w:color w:val="000000" w:themeColor="text1"/>
          <w:sz w:val="28"/>
          <w:szCs w:val="28"/>
          <w:shd w:fill="auto" w:val="clear"/>
        </w:rPr>
        <w:t xml:space="preserve">20.10.2022 № 247/ОП                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 xml:space="preserve">принято решение о подготовке проекта о внесении изменений в Правила землепользования и застройки города Пензы, утвержденные приказом Министерства градостроительства и архитектуры Пензенской области                от 20.05.2022 № 46/ОД (далее — проект о внесении изменений в Правила),           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в части внесения изменений в градостроительные регламенты.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Состав и порядок деятельности Комиссии </w:t>
      </w:r>
      <w:r>
        <w:rPr>
          <w:rFonts w:cs="Times New Roman" w:ascii="Times New Roman" w:hAnsi="Times New Roman"/>
          <w:sz w:val="28"/>
          <w:szCs w:val="28"/>
        </w:rPr>
        <w:t>по подготовке проекта правил землепользования и застройки муниципальных образований Пензенской области (далее — Комиссия) утверждены приказом Министерства градостроительства и архитектуры Пензенской области                от 07.06.2022 №89/ОП.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 xml:space="preserve">Порядок и сроки проведения работ по подготовке проекта внесения изменений в Правила указаны в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 xml:space="preserve">таблице </w:t>
      </w:r>
      <w:r>
        <w:rPr>
          <w:rFonts w:cs="Times New Roman" w:ascii="Times New Roman" w:hAnsi="Times New Roman"/>
          <w:color w:val="auto"/>
          <w:sz w:val="28"/>
          <w:szCs w:val="28"/>
        </w:rPr>
        <w:t>№ 1.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3"/>
        <w:gridCol w:w="4949"/>
        <w:gridCol w:w="3843"/>
      </w:tblGrid>
      <w:tr>
        <w:trPr/>
        <w:tc>
          <w:tcPr>
            <w:tcW w:w="563" w:type="dxa"/>
            <w:tcBorders/>
          </w:tcPr>
          <w:p>
            <w:pPr>
              <w:pStyle w:val="Style22"/>
              <w:widowControl w:val="false"/>
              <w:spacing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4949" w:type="dxa"/>
            <w:tcBorders/>
          </w:tcPr>
          <w:p>
            <w:pPr>
              <w:pStyle w:val="Style22"/>
              <w:widowControl w:val="false"/>
              <w:spacing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  <w:tcBorders/>
          </w:tcPr>
          <w:p>
            <w:pPr>
              <w:pStyle w:val="Style22"/>
              <w:widowControl w:val="false"/>
              <w:spacing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Style22"/>
              <w:widowControl w:val="false"/>
              <w:spacing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tcBorders/>
          </w:tcPr>
          <w:p>
            <w:pPr>
              <w:pStyle w:val="Style22"/>
              <w:widowControl w:val="false"/>
              <w:spacing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внесения изменений в Правила</w:t>
            </w:r>
          </w:p>
        </w:tc>
        <w:tc>
          <w:tcPr>
            <w:tcW w:w="3843" w:type="dxa"/>
            <w:tcBorders/>
          </w:tcPr>
          <w:p>
            <w:pPr>
              <w:pStyle w:val="Style22"/>
              <w:widowControl w:val="false"/>
              <w:spacing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внесения изменений в Правила Министром градостроительства и архитектуры Пензенской области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Style22"/>
              <w:widowControl w:val="false"/>
              <w:spacing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tcBorders/>
          </w:tcPr>
          <w:p>
            <w:pPr>
              <w:pStyle w:val="Style22"/>
              <w:widowControl w:val="false"/>
              <w:spacing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Проверка проекта внесения изменений              в Правила в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 xml:space="preserve">соответствии с требованиями            </w:t>
            </w:r>
            <w:r>
              <w:rPr>
                <w:rFonts w:eastAsia="Calibri" w:cs="" w:ascii="Times New Roman" w:hAnsi="Times New Roman" w:cstheme="minorBidi" w:eastAsiaTheme="minorHAnsi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lang w:val="ru-RU" w:eastAsia="en-US" w:bidi="ar-SA"/>
              </w:rPr>
              <w:t>ч. 9 ст. 31 Градостроительного кодекса РФ</w:t>
            </w:r>
          </w:p>
        </w:tc>
        <w:tc>
          <w:tcPr>
            <w:tcW w:w="3843" w:type="dxa"/>
            <w:tcBorders/>
          </w:tcPr>
          <w:p>
            <w:pPr>
              <w:pStyle w:val="Style22"/>
              <w:widowControl w:val="false"/>
              <w:spacing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внесения изменений в Правила Министром градостроительства и архитектуры Пензенской области</w:t>
            </w:r>
          </w:p>
        </w:tc>
      </w:tr>
      <w:tr>
        <w:trPr>
          <w:trHeight w:val="2437" w:hRule="atLeast"/>
        </w:trPr>
        <w:tc>
          <w:tcPr>
            <w:tcW w:w="563" w:type="dxa"/>
            <w:tcBorders/>
          </w:tcPr>
          <w:p>
            <w:pPr>
              <w:pStyle w:val="Style22"/>
              <w:widowControl w:val="false"/>
              <w:spacing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Направление 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6"/>
                <w:szCs w:val="26"/>
                <w:lang w:val="ru-RU" w:eastAsia="en-US" w:bidi="ar-SA"/>
              </w:rPr>
              <w:t>Министру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внесения изменений в Правила             для принятия решения о проведении публичных слушаний или, в случае обнаружения его несоответствия  вышеуказанным требованиям, в Комиссию на доработку</w:t>
            </w:r>
          </w:p>
        </w:tc>
        <w:tc>
          <w:tcPr>
            <w:tcW w:w="384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 течение трех рабочих дней с момента окончания проверки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Style22"/>
              <w:widowControl w:val="false"/>
              <w:spacing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949" w:type="dxa"/>
            <w:tcBorders/>
          </w:tcPr>
          <w:p>
            <w:pPr>
              <w:pStyle w:val="Style22"/>
              <w:widowControl w:val="false"/>
              <w:spacing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Принятие решения о проведении публичных слушаний по проекту внесения изменений в Правила</w:t>
            </w:r>
          </w:p>
        </w:tc>
        <w:tc>
          <w:tcPr>
            <w:tcW w:w="3843" w:type="dxa"/>
            <w:tcBorders/>
          </w:tcPr>
          <w:p>
            <w:pPr>
              <w:pStyle w:val="Style22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6"/>
                <w:szCs w:val="26"/>
                <w:lang w:val="ru-RU" w:eastAsia="en-US" w:bidi="ar-SA"/>
              </w:rPr>
              <w:t>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е позднее чем через десять дней со дня </w:t>
            </w:r>
            <w:r>
              <w:rPr>
                <w:rFonts w:eastAsia="Calibri" w:cs="" w:ascii="Times New Roman" w:hAnsi="Times New Roman" w:cstheme="minorBidi" w:eastAsiaTheme="minorHAnsi"/>
                <w:color w:val="000000"/>
                <w:kern w:val="0"/>
                <w:sz w:val="26"/>
                <w:szCs w:val="26"/>
                <w:shd w:fill="auto" w:val="clear"/>
                <w:lang w:val="ru-RU" w:eastAsia="en-US" w:bidi="ar-SA"/>
              </w:rPr>
              <w:t>получения Министром г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shd w:fill="auto" w:val="clear"/>
                <w:lang w:val="ru-RU" w:eastAsia="en-US" w:bidi="ar-SA"/>
              </w:rPr>
              <w:t xml:space="preserve">радостроительства и архитектуры Пензенской области          </w:t>
            </w:r>
            <w:r>
              <w:rPr>
                <w:rFonts w:cs="" w:ascii="Times New Roman" w:hAnsi="Times New Roman" w:cstheme="minorBidi"/>
                <w:sz w:val="26"/>
                <w:szCs w:val="26"/>
                <w:shd w:fill="auto" w:val="clear"/>
              </w:rPr>
              <w:t xml:space="preserve"> проекта внесения изменений в Правила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Style22"/>
              <w:widowControl w:val="false"/>
              <w:spacing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tcBorders/>
          </w:tcPr>
          <w:p>
            <w:pPr>
              <w:pStyle w:val="Style22"/>
              <w:widowControl w:val="false"/>
              <w:spacing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Организация и проведение публичных слушаний</w:t>
            </w:r>
          </w:p>
        </w:tc>
        <w:tc>
          <w:tcPr>
            <w:tcW w:w="3843" w:type="dxa"/>
            <w:tcBorders/>
          </w:tcPr>
          <w:p>
            <w:pPr>
              <w:pStyle w:val="Style22"/>
              <w:widowControl w:val="false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6"/>
                <w:szCs w:val="26"/>
                <w:lang w:val="ru-RU" w:eastAsia="en-US" w:bidi="ar-SA"/>
              </w:rPr>
              <w:t>Н</w:t>
            </w:r>
            <w:r>
              <w:rPr>
                <w:rFonts w:ascii="Times New Roman" w:hAnsi="Times New Roman"/>
                <w:sz w:val="26"/>
                <w:szCs w:val="26"/>
              </w:rPr>
              <w:t>е более одного месяца с</w:t>
            </w:r>
          </w:p>
          <w:p>
            <w:pPr>
              <w:pStyle w:val="Style22"/>
              <w:widowControl w:val="false"/>
              <w:spacing w:before="0" w:after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30"/>
                <w:szCs w:val="26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с момента оповещения жителей</w:t>
            </w:r>
          </w:p>
          <w:p>
            <w:pPr>
              <w:pStyle w:val="Style22"/>
              <w:widowControl w:val="false"/>
              <w:spacing w:before="0" w:after="0"/>
              <w:jc w:val="center"/>
              <w:rPr>
                <w:rFonts w:ascii="Times New Roman" w:hAnsi="Times New Roman"/>
                <w:sz w:val="30"/>
                <w:szCs w:val="26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о проведении публичных слушаний до дня опубликования заключения о результатах публичных слушаний</w:t>
            </w:r>
          </w:p>
          <w:p>
            <w:pPr>
              <w:pStyle w:val="Style22"/>
              <w:widowControl w:val="false"/>
              <w:spacing w:before="0" w:after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(в соответствии с ч. 2 ст. 7 Федерального закона                           от 14.03.2022 № 58-ФЗ                      (с последующими изменениями)</w:t>
            </w:r>
          </w:p>
        </w:tc>
      </w:tr>
      <w:tr>
        <w:trPr>
          <w:trHeight w:val="343" w:hRule="atLeast"/>
        </w:trPr>
        <w:tc>
          <w:tcPr>
            <w:tcW w:w="563" w:type="dxa"/>
            <w:tcBorders/>
          </w:tcPr>
          <w:p>
            <w:pPr>
              <w:pStyle w:val="Style22"/>
              <w:widowControl w:val="false"/>
              <w:spacing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949" w:type="dxa"/>
            <w:tcBorders/>
          </w:tcPr>
          <w:p>
            <w:pPr>
              <w:pStyle w:val="Style22"/>
              <w:widowControl w:val="false"/>
              <w:snapToGrid w:val="false"/>
              <w:spacing w:before="0" w:after="160"/>
              <w:jc w:val="center"/>
              <w:rPr>
                <w:rFonts w:ascii=" Times New Roman" w:hAnsi=" Times New Roman"/>
                <w:sz w:val="26"/>
                <w:szCs w:val="26"/>
              </w:rPr>
            </w:pPr>
            <w:r>
              <w:rPr>
                <w:rFonts w:ascii=" Times New Roman" w:hAnsi=" Times New Roman"/>
                <w:sz w:val="26"/>
                <w:szCs w:val="26"/>
              </w:rPr>
              <w:t>Прием предложений заинтересованных лиц по подготовке проекта внесения изменений в Правила посредством: записи в журнале учета посетителей экспозиции проекта внесения изменений в Правила,                              в письменной форме или в форме электронного документа в адрес Комиссии, в  письменной  или  устной  форме  в  ходе  проведения собрания участников публичных слушаний</w:t>
            </w:r>
          </w:p>
        </w:tc>
        <w:tc>
          <w:tcPr>
            <w:tcW w:w="3843" w:type="dxa"/>
            <w:tcBorders/>
          </w:tcPr>
          <w:p>
            <w:pPr>
              <w:pStyle w:val="Style22"/>
              <w:widowControl w:val="false"/>
              <w:spacing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 момента </w:t>
            </w: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6"/>
                <w:szCs w:val="26"/>
                <w:lang w:val="ru-RU" w:eastAsia="en-US" w:bidi="ar-SA"/>
              </w:rPr>
              <w:t>размещения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проекта внесения изменений в Правила            и информационных материалов            к нему на официальном сайте Министерства до дня проведения собрания участников публичных слушаний (включительно)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Style22"/>
              <w:widowControl w:val="false"/>
              <w:spacing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tcBorders/>
          </w:tcPr>
          <w:p>
            <w:pPr>
              <w:pStyle w:val="Style22"/>
              <w:widowControl w:val="false"/>
              <w:spacing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Внесение изменений (при необходимости)            в проект внесения изменений в Правила               с учетом результатов публичных слушаний и представление его Министру градостроительства и архитектуры Пензенской области</w:t>
            </w:r>
          </w:p>
        </w:tc>
        <w:tc>
          <w:tcPr>
            <w:tcW w:w="3843" w:type="dxa"/>
            <w:tcBorders/>
          </w:tcPr>
          <w:p>
            <w:pPr>
              <w:pStyle w:val="Style22"/>
              <w:widowControl w:val="false"/>
              <w:spacing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После завершения процедуры проведения публичных слушаний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Style22"/>
              <w:widowControl w:val="false"/>
              <w:spacing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949" w:type="dxa"/>
            <w:tcBorders/>
          </w:tcPr>
          <w:p>
            <w:pPr>
              <w:pStyle w:val="Style22"/>
              <w:widowControl w:val="false"/>
              <w:spacing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Принятие решения Министром градостроительства и архитектуры Пензенской области об утверждении проекта внесения изменений в Правила или                  об отклонении такого проекта и                          о направлении его на доработку                            с указанием даты его повторного представления</w:t>
            </w:r>
          </w:p>
        </w:tc>
        <w:tc>
          <w:tcPr>
            <w:tcW w:w="3843" w:type="dxa"/>
            <w:tcBorders/>
          </w:tcPr>
          <w:p>
            <w:pPr>
              <w:pStyle w:val="Style22"/>
              <w:widowControl w:val="false"/>
              <w:spacing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десяти дней после представления Министру градостроительства и архитектуры Пензенской области проекта внесения изменений                   в Правила</w:t>
            </w:r>
          </w:p>
        </w:tc>
      </w:tr>
    </w:tbl>
    <w:p>
      <w:pPr>
        <w:pStyle w:val="Normal"/>
        <w:spacing w:lineRule="auto" w:line="240" w:before="0"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Порядок направления в Комиссию предложений заинтересованных лиц по подготовке проекта внесения изменений в Правила определен статьями 5.1, 33 Градостроительного кодекса Российской Федерации.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Предложения </w:t>
      </w:r>
      <w:r>
        <w:rPr>
          <w:rFonts w:cs="Times New Roman" w:ascii="Times New Roman" w:hAnsi="Times New Roman"/>
          <w:color w:val="000000" w:themeColor="text1"/>
          <w:sz w:val="28"/>
          <w:szCs w:val="28"/>
          <w:shd w:fill="auto" w:val="clear"/>
        </w:rPr>
        <w:t>заинтересованных лиц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shd w:fill="auto" w:val="clear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по подготовке проекта внесения изменений в Правила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</w:rPr>
        <w:t>в письменной форме                   по адресу:  г. Пенза, ул. Суворова, 156</w:t>
      </w:r>
      <w:r>
        <w:rPr>
          <w:rFonts w:cs="Tinos" w:ascii="Tinos" w:hAnsi="Tinos"/>
          <w:color w:val="000000" w:themeColor="text1"/>
          <w:sz w:val="28"/>
          <w:szCs w:val="28"/>
          <w:u w:val="none"/>
          <w:shd w:fill="auto" w:val="clear"/>
          <w:lang w:val="zxx" w:eastAsia="zxx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  <w:shd w:fill="auto" w:val="clear"/>
        </w:rPr>
        <w:t>с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момента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размещения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проекта внесения изменений в Правила 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 xml:space="preserve">и информационных материалов к нему на официальном сайте Министерства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до дня проведения собрания участников публичных слушаний (включительно).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680"/>
        <w:jc w:val="both"/>
        <w:rPr>
          <w:rFonts w:cs="Times New Roman"/>
          <w:shd w:fill="auto" w:val="clear"/>
        </w:rPr>
      </w:pPr>
      <w:r>
        <w:rPr>
          <w:rFonts w:cs="Times New Roman"/>
          <w:shd w:fill="auto" w:val="clear"/>
        </w:rPr>
      </w:r>
    </w:p>
    <w:p>
      <w:pPr>
        <w:pStyle w:val="NormalWeb"/>
        <w:widowControl/>
        <w:suppressAutoHyphens w:val="true"/>
        <w:bidi w:val="0"/>
        <w:spacing w:lineRule="auto" w:line="240" w:before="280" w:after="280"/>
        <w:ind w:left="0" w:right="0" w:firstLine="737"/>
        <w:contextualSpacing/>
        <w:jc w:val="both"/>
        <w:rPr>
          <w:rFonts w:eastAsia="Times New Roman"/>
          <w:b w:val="false"/>
          <w:b w:val="false"/>
          <w:bCs w:val="false"/>
          <w:i w:val="false"/>
          <w:i w:val="false"/>
          <w:iCs w:val="false"/>
          <w:shd w:fill="FFFFFF" w:val="clear"/>
        </w:rPr>
      </w:pPr>
      <w:r>
        <w:rPr>
          <w:rFonts w:eastAsia="Times New Roman"/>
          <w:b w:val="false"/>
          <w:bCs w:val="false"/>
          <w:i w:val="false"/>
          <w:iCs w:val="false"/>
          <w:shd w:fill="FFFFFF" w:val="clear"/>
        </w:rPr>
      </w:r>
    </w:p>
    <w:p>
      <w:pPr>
        <w:pStyle w:val="Style22"/>
        <w:widowControl w:val="false"/>
        <w:spacing w:lineRule="auto" w:line="240" w:before="0" w:after="160"/>
        <w:ind w:firstLine="708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yle22"/>
        <w:widowControl w:val="false"/>
        <w:spacing w:lineRule="auto" w:line="240" w:before="0" w:after="160"/>
        <w:ind w:firstLine="708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Formattexttopleveltext"/>
        <w:shd w:val="clear" w:fill="FFFFFF"/>
        <w:spacing w:lineRule="atLeast" w:line="315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before="0" w:after="160"/>
        <w:rPr>
          <w:b/>
          <w:b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 Times New Roman">
    <w:charset w:val="01"/>
    <w:family w:val="roman"/>
    <w:pitch w:val="default"/>
  </w:font>
  <w:font w:name="Tinos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6d3af4"/>
    <w:rPr>
      <w:color w:val="0563C1" w:themeColor="hyperlink"/>
      <w:u w:val="single"/>
    </w:rPr>
  </w:style>
  <w:style w:type="character" w:styleId="Style15">
    <w:name w:val="Символ нумерации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6d3af4"/>
    <w:pPr>
      <w:spacing w:before="0" w:after="160"/>
      <w:ind w:left="720" w:hanging="0"/>
      <w:contextualSpacing/>
    </w:pPr>
    <w:rPr/>
  </w:style>
  <w:style w:type="paragraph" w:styleId="Style21">
    <w:name w:val="Body Text Indent"/>
    <w:basedOn w:val="Normal"/>
    <w:qFormat/>
    <w:pPr>
      <w:ind w:left="0" w:right="0" w:firstLine="709"/>
      <w:jc w:val="both"/>
    </w:pPr>
    <w:rPr/>
  </w:style>
  <w:style w:type="paragraph" w:styleId="Style22">
    <w:name w:val="Содержимое таблицы"/>
    <w:basedOn w:val="Normal"/>
    <w:qFormat/>
    <w:pPr/>
    <w:rPr/>
  </w:style>
  <w:style w:type="paragraph" w:styleId="Formattexttopleveltext">
    <w:name w:val="formattext topleveltext"/>
    <w:basedOn w:val="Normal"/>
    <w:qFormat/>
    <w:pPr>
      <w:spacing w:lineRule="auto" w:line="240" w:before="280" w:after="280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Application>LibreOffice/7.0.6.2$Linux_X86_64 LibreOffice_project/00$Build-2</Application>
  <AppVersion>15.0000</AppVersion>
  <Pages>3</Pages>
  <Words>558</Words>
  <Characters>3727</Characters>
  <CharactersWithSpaces>4651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2022-08-26T11:38:00Z</dcterms:created>
  <dc:creator>Mng4</dc:creator>
  <dc:description/>
  <dc:language>ru-RU</dc:language>
  <cp:lastModifiedBy/>
  <dcterms:modified xsi:type="dcterms:W3CDTF">2022-10-25T17:35:42Z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