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E1D" w:rsidRDefault="00896E1D" w:rsidP="00896E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Исчерпывающий перечень документов, необходимых</w:t>
      </w:r>
    </w:p>
    <w:p w:rsidR="00896E1D" w:rsidRDefault="00896E1D" w:rsidP="00896E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в соответствии с законодательными или иными нормативными</w:t>
      </w:r>
    </w:p>
    <w:p w:rsidR="00896E1D" w:rsidRDefault="00896E1D" w:rsidP="00896E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правовыми актами для предоставления государственной услуги,</w:t>
      </w:r>
    </w:p>
    <w:p w:rsidR="00896E1D" w:rsidRDefault="00896E1D" w:rsidP="00896E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 разделением на документы и информацию, которые заявитель</w:t>
      </w:r>
    </w:p>
    <w:p w:rsidR="00896E1D" w:rsidRDefault="00896E1D" w:rsidP="00896E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должен представить самостоятельно, и документы, которые</w:t>
      </w:r>
    </w:p>
    <w:p w:rsidR="00896E1D" w:rsidRDefault="00896E1D" w:rsidP="00896E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заявитель вправе представить по собственной инициативе, так</w:t>
      </w:r>
    </w:p>
    <w:p w:rsidR="00896E1D" w:rsidRDefault="00896E1D" w:rsidP="00896E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как они подлежат представлению в рамках межведомственного</w:t>
      </w:r>
    </w:p>
    <w:p w:rsidR="00896E1D" w:rsidRDefault="00896E1D" w:rsidP="00896E1D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информационного взаимодействия, способы их представления</w:t>
      </w:r>
    </w:p>
    <w:p w:rsidR="00896E1D" w:rsidRDefault="00896E1D" w:rsidP="00896E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96E1D" w:rsidRDefault="00896E1D" w:rsidP="00896E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2.6. Государственная услуга предоставляется при поступлении от заявителя в Министерство заявления (уведомления) и документов, необходимых для предоставления государственной услуги.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10"/>
      <w:bookmarkEnd w:id="0"/>
      <w:r>
        <w:rPr>
          <w:rFonts w:ascii="Arial" w:hAnsi="Arial" w:cs="Arial"/>
          <w:sz w:val="20"/>
          <w:szCs w:val="20"/>
        </w:rPr>
        <w:t xml:space="preserve">2.7. Для получения разрешения на строительство заявитель направляет в Министерство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заявление</w:t>
        </w:r>
      </w:hyperlink>
      <w:r>
        <w:rPr>
          <w:rFonts w:ascii="Arial" w:hAnsi="Arial" w:cs="Arial"/>
          <w:sz w:val="20"/>
          <w:szCs w:val="20"/>
        </w:rPr>
        <w:t xml:space="preserve"> на бумажном носителе или в форме электронного документа, подписанного электронной подписью, по форме согласно приложению N 1 к Регламенту, с приложением необходимых для предоставления государственной услуги документов: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согласие всех правообладателей объекта капитального строительства в случае реконструкции такого объекта, за исключением указанных в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пункте 6.2 части 7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решение общего собрания собственников помещений и </w:t>
      </w:r>
      <w:proofErr w:type="spellStart"/>
      <w:r>
        <w:rPr>
          <w:rFonts w:ascii="Arial" w:hAnsi="Arial" w:cs="Arial"/>
          <w:sz w:val="20"/>
          <w:szCs w:val="20"/>
        </w:rPr>
        <w:t>машино</w:t>
      </w:r>
      <w:proofErr w:type="spellEnd"/>
      <w:r>
        <w:rPr>
          <w:rFonts w:ascii="Arial" w:hAnsi="Arial" w:cs="Arial"/>
          <w:sz w:val="20"/>
          <w:szCs w:val="20"/>
        </w:rPr>
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</w:r>
      <w:proofErr w:type="spellStart"/>
      <w:r>
        <w:rPr>
          <w:rFonts w:ascii="Arial" w:hAnsi="Arial" w:cs="Arial"/>
          <w:sz w:val="20"/>
          <w:szCs w:val="20"/>
        </w:rPr>
        <w:t>машино</w:t>
      </w:r>
      <w:proofErr w:type="spellEnd"/>
      <w:r>
        <w:rPr>
          <w:rFonts w:ascii="Arial" w:hAnsi="Arial" w:cs="Arial"/>
          <w:sz w:val="20"/>
          <w:szCs w:val="20"/>
        </w:rPr>
        <w:t>-мест в многоквартирном доме.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13"/>
      <w:bookmarkEnd w:id="1"/>
      <w:r>
        <w:rPr>
          <w:rFonts w:ascii="Arial" w:hAnsi="Arial" w:cs="Arial"/>
          <w:sz w:val="20"/>
          <w:szCs w:val="20"/>
        </w:rPr>
        <w:t xml:space="preserve">2.8. Для внесения изменений в разрешение на строительство заявитель направляет в Министерство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уведомление</w:t>
        </w:r>
      </w:hyperlink>
      <w:r>
        <w:rPr>
          <w:rFonts w:ascii="Arial" w:hAnsi="Arial" w:cs="Arial"/>
          <w:sz w:val="20"/>
          <w:szCs w:val="20"/>
        </w:rPr>
        <w:t xml:space="preserve">, по форме согласно приложению N 2 к Регламенту (в случаях, указанных в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части 21.10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кодекса), с указанием реквизитов: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правоустанавливающих документов на земельные участки, в случае, указанном в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части 21.5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решения об образовании земельных участков, в случаях, предусмотренных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частями 21.6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21.7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градостроительного плана земельного участка, на котором планируется осуществить строительство, реконструкцию объекта капитального строительства, в случае, предусмотренном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частью 21.7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решения о предоставлении права пользования недрами и решения о переоформлении лицензии на право пользования недрами, в случае, предусмотренном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частью 21.9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Копии указанных документов могут быть представлены заявителем одновременно с уведомлением.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19"/>
      <w:bookmarkEnd w:id="2"/>
      <w:r>
        <w:rPr>
          <w:rFonts w:ascii="Arial" w:hAnsi="Arial" w:cs="Arial"/>
          <w:sz w:val="20"/>
          <w:szCs w:val="20"/>
        </w:rPr>
        <w:t xml:space="preserve">2.9. В целях внесения изменений в разрешение на строительство заявитель направляет в Министерство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заявление</w:t>
        </w:r>
      </w:hyperlink>
      <w:r>
        <w:rPr>
          <w:rFonts w:ascii="Arial" w:hAnsi="Arial" w:cs="Arial"/>
          <w:sz w:val="20"/>
          <w:szCs w:val="20"/>
        </w:rPr>
        <w:t xml:space="preserve">, по форме согласно приложению N 3 к Регламенту (кроме заявления о внесении изменений в разрешение на строительство исключительно в связи с продлением срока действия такого разрешения), с приложением документов, предусмотренных </w:t>
      </w:r>
      <w:hyperlink w:anchor="Par10" w:history="1">
        <w:r>
          <w:rPr>
            <w:rFonts w:ascii="Arial" w:hAnsi="Arial" w:cs="Arial"/>
            <w:color w:val="0000FF"/>
            <w:sz w:val="20"/>
            <w:szCs w:val="20"/>
          </w:rPr>
          <w:t>пунктом 2.7</w:t>
        </w:r>
      </w:hyperlink>
      <w:r>
        <w:rPr>
          <w:rFonts w:ascii="Arial" w:hAnsi="Arial" w:cs="Arial"/>
          <w:sz w:val="20"/>
          <w:szCs w:val="20"/>
        </w:rPr>
        <w:t xml:space="preserve"> Регламента (за исключением случаев, указанных в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части 21.10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2.10. В целях внесения изменений в разрешение на строительство исключительно в связи с продлением срока действия такого разрешения заявитель направляет в Министерство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заявление</w:t>
        </w:r>
      </w:hyperlink>
      <w:r>
        <w:rPr>
          <w:rFonts w:ascii="Arial" w:hAnsi="Arial" w:cs="Arial"/>
          <w:sz w:val="20"/>
          <w:szCs w:val="20"/>
        </w:rPr>
        <w:t>, по форме согласно приложению N 4 к Регламенту.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21"/>
      <w:bookmarkEnd w:id="3"/>
      <w:r>
        <w:rPr>
          <w:rFonts w:ascii="Arial" w:hAnsi="Arial" w:cs="Arial"/>
          <w:sz w:val="20"/>
          <w:szCs w:val="20"/>
        </w:rPr>
        <w:t xml:space="preserve">2.11. Необходимыми для предоставления государственной услуги документами и сведениями,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услуги, и которые заявитель вправе представить самостоятельно, являются (в случае подачи в Министерство заявлений, предусмотренных </w:t>
      </w:r>
      <w:hyperlink w:anchor="Par10" w:history="1">
        <w:r>
          <w:rPr>
            <w:rFonts w:ascii="Arial" w:hAnsi="Arial" w:cs="Arial"/>
            <w:color w:val="0000FF"/>
            <w:sz w:val="20"/>
            <w:szCs w:val="20"/>
          </w:rPr>
          <w:t>пунктами 2.7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19" w:history="1">
        <w:r>
          <w:rPr>
            <w:rFonts w:ascii="Arial" w:hAnsi="Arial" w:cs="Arial"/>
            <w:color w:val="0000FF"/>
            <w:sz w:val="20"/>
            <w:szCs w:val="20"/>
          </w:rPr>
          <w:t>2.9</w:t>
        </w:r>
      </w:hyperlink>
      <w:r>
        <w:rPr>
          <w:rFonts w:ascii="Arial" w:hAnsi="Arial" w:cs="Arial"/>
          <w:sz w:val="20"/>
          <w:szCs w:val="20"/>
        </w:rPr>
        <w:t xml:space="preserve"> Регламента):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22"/>
      <w:bookmarkEnd w:id="4"/>
      <w:r>
        <w:rPr>
          <w:rFonts w:ascii="Arial" w:hAnsi="Arial" w:cs="Arial"/>
          <w:sz w:val="20"/>
          <w:szCs w:val="20"/>
        </w:rPr>
        <w:t xml:space="preserve">1) правоустанавливающие документы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участка, в случаях, предусмотренных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частями 1.1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1.2 статьи 57.3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если иное не установлено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частью 7.3 статьи 51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896E1D" w:rsidRDefault="00896E1D" w:rsidP="00896E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 в ред.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26.01.2026 N 23-7)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при наличии соглашения о передаче,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</w:r>
      <w:proofErr w:type="spellStart"/>
      <w:r>
        <w:rPr>
          <w:rFonts w:ascii="Arial" w:hAnsi="Arial" w:cs="Arial"/>
          <w:sz w:val="20"/>
          <w:szCs w:val="20"/>
        </w:rPr>
        <w:t>Росатом</w:t>
      </w:r>
      <w:proofErr w:type="spellEnd"/>
      <w:r>
        <w:rPr>
          <w:rFonts w:ascii="Arial" w:hAnsi="Arial" w:cs="Arial"/>
          <w:sz w:val="20"/>
          <w:szCs w:val="20"/>
        </w:rPr>
        <w:t>", Государственной корпорацией по космической деятельности "</w:t>
      </w:r>
      <w:proofErr w:type="spellStart"/>
      <w:r>
        <w:rPr>
          <w:rFonts w:ascii="Arial" w:hAnsi="Arial" w:cs="Arial"/>
          <w:sz w:val="20"/>
          <w:szCs w:val="20"/>
        </w:rPr>
        <w:t>Роскосмос</w:t>
      </w:r>
      <w:proofErr w:type="spellEnd"/>
      <w:r>
        <w:rPr>
          <w:rFonts w:ascii="Arial" w:hAnsi="Arial" w:cs="Arial"/>
          <w:sz w:val="20"/>
          <w:szCs w:val="20"/>
        </w:rPr>
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26"/>
      <w:bookmarkEnd w:id="5"/>
      <w:r>
        <w:rPr>
          <w:rFonts w:ascii="Arial" w:hAnsi="Arial" w:cs="Arial"/>
          <w:sz w:val="20"/>
          <w:szCs w:val="20"/>
        </w:rPr>
        <w:t xml:space="preserve">4) результаты инженерных изысканий и следующие материалы, содержащиеся в утвержденной в соответствии с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частью 15 статьи 48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проектной документации (в случае если указанные документы содержатся в едином государственном реестре заключений):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пояснительная записка;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-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31"/>
      <w:bookmarkEnd w:id="6"/>
      <w:r>
        <w:rPr>
          <w:rFonts w:ascii="Arial" w:hAnsi="Arial" w:cs="Arial"/>
          <w:sz w:val="20"/>
          <w:szCs w:val="20"/>
        </w:rPr>
        <w:t xml:space="preserve">5) положительное заключение экспертизы проектной документации (в части соответствия проектной документации требованиям, указанным в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пункте 1 части 5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кодекса), в соответствии с которой осуществляются строительство, реконструкция объекта капитального строительства, в том числе в случае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строительства, в случае, предусмотренном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частью 12.1 статьи 48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кодекса), если такая проектная документация подлежит экспертизе в соответствии со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статьей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положительное заключение государственной экспертизы проектной документации, в случаях, предусмотренных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частью 3.4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положительное заключение государственной экологической экспертизы проектной документации, в случаях, предусмотренных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частью 6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(в случае если указанные документы содержатся в едином государственном реестре заключений);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6) подтверждение соответствия вносимых в проектную документацию изменений требованиям, указанным в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части 3.8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кодексом</w:t>
        </w:r>
      </w:hyperlink>
      <w:r>
        <w:rPr>
          <w:rFonts w:ascii="Arial" w:hAnsi="Arial" w:cs="Arial"/>
          <w:sz w:val="20"/>
          <w:szCs w:val="20"/>
        </w:rPr>
        <w:t xml:space="preserve"> специалистом по организации архитектурно-строительного проектирования в должности главного инженера проекта, в случае внесения изменений в проектную документацию в соответствии с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частью 3.8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7) подтверждение соответствия вносимых в проектную документацию изменений требованиям, указанным в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части 3.9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частью 3.9 статьи 49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8) разрешение на отклонение от предельных параметров разрешенного строительства, реконструкции (в случае если застройщику было предоставлено такое разрешение в соответствии со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статьей 40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кодекса);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10) копия договора о комплексном развитии территории в случае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требуется;</w:t>
      </w:r>
    </w:p>
    <w:p w:rsidR="00896E1D" w:rsidRDefault="00896E1D" w:rsidP="00896E1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пп</w:t>
      </w:r>
      <w:proofErr w:type="spellEnd"/>
      <w:r>
        <w:rPr>
          <w:rFonts w:ascii="Arial" w:hAnsi="Arial" w:cs="Arial"/>
          <w:sz w:val="20"/>
          <w:szCs w:val="20"/>
        </w:rPr>
        <w:t xml:space="preserve">. 10 в ред. </w:t>
      </w:r>
      <w:hyperlink r:id="rId32" w:history="1">
        <w:r>
          <w:rPr>
            <w:rFonts w:ascii="Arial" w:hAnsi="Arial" w:cs="Arial"/>
            <w:color w:val="0000FF"/>
            <w:sz w:val="20"/>
            <w:szCs w:val="20"/>
          </w:rPr>
          <w:t>Приказа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Минграда</w:t>
      </w:r>
      <w:proofErr w:type="spellEnd"/>
      <w:r>
        <w:rPr>
          <w:rFonts w:ascii="Arial" w:hAnsi="Arial" w:cs="Arial"/>
          <w:sz w:val="20"/>
          <w:szCs w:val="20"/>
        </w:rPr>
        <w:t xml:space="preserve"> Пензенской обл. от 26.01.2026 N 23-7)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11) согласование архитектурно-градостроительного облика объекта капитального строительства, в случае если такое согласование предусмотрено </w:t>
      </w:r>
      <w:hyperlink r:id="rId33" w:history="1">
        <w:r>
          <w:rPr>
            <w:rFonts w:ascii="Arial" w:hAnsi="Arial" w:cs="Arial"/>
            <w:color w:val="0000FF"/>
            <w:sz w:val="20"/>
            <w:szCs w:val="20"/>
          </w:rPr>
          <w:t>статьей 40.1</w:t>
        </w:r>
      </w:hyperlink>
      <w:r>
        <w:rPr>
          <w:rFonts w:ascii="Arial" w:hAnsi="Arial" w:cs="Arial"/>
          <w:sz w:val="20"/>
          <w:szCs w:val="20"/>
        </w:rPr>
        <w:t xml:space="preserve"> Градостроительного кодекса Российской Федерации.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39"/>
      <w:bookmarkEnd w:id="7"/>
      <w:r>
        <w:rPr>
          <w:rFonts w:ascii="Arial" w:hAnsi="Arial" w:cs="Arial"/>
          <w:sz w:val="20"/>
          <w:szCs w:val="20"/>
        </w:rPr>
        <w:t xml:space="preserve">2.12. В случае если заявитель самостоятельно не представил документы, указанные в </w:t>
      </w:r>
      <w:hyperlink w:anchor="Par21" w:history="1">
        <w:r>
          <w:rPr>
            <w:rFonts w:ascii="Arial" w:hAnsi="Arial" w:cs="Arial"/>
            <w:color w:val="0000FF"/>
            <w:sz w:val="20"/>
            <w:szCs w:val="20"/>
          </w:rPr>
          <w:t>пункте 2.11</w:t>
        </w:r>
      </w:hyperlink>
      <w:r>
        <w:rPr>
          <w:rFonts w:ascii="Arial" w:hAnsi="Arial" w:cs="Arial"/>
          <w:sz w:val="20"/>
          <w:szCs w:val="20"/>
        </w:rPr>
        <w:t xml:space="preserve"> Регламента, Министерство направляет межведомственный запрос о предоставлении таких документов в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участвующие в предоставлении государственной услуги, в распоряжении которых находятся указанные документы.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если документы, предусмотренные </w:t>
      </w:r>
      <w:hyperlink w:anchor="Par13" w:history="1">
        <w:r>
          <w:rPr>
            <w:rFonts w:ascii="Arial" w:hAnsi="Arial" w:cs="Arial"/>
            <w:color w:val="0000FF"/>
            <w:sz w:val="20"/>
            <w:szCs w:val="20"/>
          </w:rPr>
          <w:t>пунктом 2.8</w:t>
        </w:r>
      </w:hyperlink>
      <w:r>
        <w:rPr>
          <w:rFonts w:ascii="Arial" w:hAnsi="Arial" w:cs="Arial"/>
          <w:sz w:val="20"/>
          <w:szCs w:val="20"/>
        </w:rPr>
        <w:t xml:space="preserve"> Регламента, не представлены заявителем, Министерство запрашивает в рамках межведомственного запроса такие документы или сведения, содержащиеся в них, в соответствующих органах государственной власти или органах местного самоуправления.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2.13. Неполучение или несвоевременное получение документов, запрошенных в соответствии с </w:t>
      </w:r>
      <w:hyperlink w:anchor="Par39" w:history="1">
        <w:r>
          <w:rPr>
            <w:rFonts w:ascii="Arial" w:hAnsi="Arial" w:cs="Arial"/>
            <w:color w:val="0000FF"/>
            <w:sz w:val="20"/>
            <w:szCs w:val="20"/>
          </w:rPr>
          <w:t>пунктом 2.12</w:t>
        </w:r>
      </w:hyperlink>
      <w:r>
        <w:rPr>
          <w:rFonts w:ascii="Arial" w:hAnsi="Arial" w:cs="Arial"/>
          <w:sz w:val="20"/>
          <w:szCs w:val="20"/>
        </w:rPr>
        <w:t xml:space="preserve"> Регламента, не может являться основанием для отказа в предоставлении государственной услуги.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2.14. Документы, указанные в </w:t>
      </w:r>
      <w:hyperlink w:anchor="Par22" w:history="1">
        <w:r>
          <w:rPr>
            <w:rFonts w:ascii="Arial" w:hAnsi="Arial" w:cs="Arial"/>
            <w:color w:val="0000FF"/>
            <w:sz w:val="20"/>
            <w:szCs w:val="20"/>
          </w:rPr>
          <w:t>подпунктах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26" w:history="1">
        <w:r>
          <w:rPr>
            <w:rFonts w:ascii="Arial" w:hAnsi="Arial" w:cs="Arial"/>
            <w:color w:val="0000FF"/>
            <w:sz w:val="20"/>
            <w:szCs w:val="20"/>
          </w:rPr>
          <w:t>4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31" w:history="1">
        <w:r>
          <w:rPr>
            <w:rFonts w:ascii="Arial" w:hAnsi="Arial" w:cs="Arial"/>
            <w:color w:val="0000FF"/>
            <w:sz w:val="20"/>
            <w:szCs w:val="20"/>
          </w:rPr>
          <w:t>5 пункта 2.11</w:t>
        </w:r>
      </w:hyperlink>
      <w:r>
        <w:rPr>
          <w:rFonts w:ascii="Arial" w:hAnsi="Arial" w:cs="Arial"/>
          <w:sz w:val="20"/>
          <w:szCs w:val="20"/>
        </w:rP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недвижимости или едином государственном реестре заключений.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2.15. Министерство не вправе требовать от заявителя: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34" w:history="1">
        <w:r>
          <w:rPr>
            <w:rFonts w:ascii="Arial" w:hAnsi="Arial" w:cs="Arial"/>
            <w:color w:val="0000FF"/>
            <w:sz w:val="20"/>
            <w:szCs w:val="20"/>
          </w:rPr>
          <w:t>частью 1 статьи 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35" w:history="1">
        <w:r>
          <w:rPr>
            <w:rFonts w:ascii="Arial" w:hAnsi="Arial" w:cs="Arial"/>
            <w:color w:val="0000FF"/>
            <w:sz w:val="20"/>
            <w:szCs w:val="20"/>
          </w:rPr>
          <w:t>частью 6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27.07.2010 N 210-ФЗ "Об организации предоставления государственных и муниципальных услуг" (с последующими изменениями) (далее - Федеральный закон N 210-ФЗ) перечень документов.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указанных в </w:t>
      </w:r>
      <w:hyperlink r:id="rId36" w:history="1">
        <w:r>
          <w:rPr>
            <w:rFonts w:ascii="Arial" w:hAnsi="Arial" w:cs="Arial"/>
            <w:color w:val="0000FF"/>
            <w:sz w:val="20"/>
            <w:szCs w:val="20"/>
          </w:rPr>
          <w:t>пункте 4 части 1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210-ФЗ;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37" w:history="1">
        <w:r>
          <w:rPr>
            <w:rFonts w:ascii="Arial" w:hAnsi="Arial" w:cs="Arial"/>
            <w:color w:val="0000FF"/>
            <w:sz w:val="20"/>
            <w:szCs w:val="20"/>
          </w:rPr>
          <w:t>части 1 статьи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210-ФЗ;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38" w:history="1">
        <w:r>
          <w:rPr>
            <w:rFonts w:ascii="Arial" w:hAnsi="Arial" w:cs="Arial"/>
            <w:color w:val="0000FF"/>
            <w:sz w:val="20"/>
            <w:szCs w:val="20"/>
          </w:rPr>
          <w:t>пунктом 7.2 части 1 статьи 16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2.16. Заявитель может подать заявление (уведомление) и (или) документы, необходимые для предоставления государственной услуги, следующими способами: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лично по местонахождению Министерства;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посредством почтовой связи по местонахождению Министерства;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8" w:name="Par52"/>
      <w:bookmarkEnd w:id="8"/>
      <w:r>
        <w:rPr>
          <w:rFonts w:ascii="Arial" w:hAnsi="Arial" w:cs="Arial"/>
          <w:sz w:val="20"/>
          <w:szCs w:val="20"/>
        </w:rPr>
        <w:t xml:space="preserve"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Министерства. 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форме, с указанием пунктов </w:t>
      </w:r>
      <w:hyperlink r:id="rId39" w:history="1">
        <w:r>
          <w:rPr>
            <w:rFonts w:ascii="Arial" w:hAnsi="Arial" w:cs="Arial"/>
            <w:color w:val="0000FF"/>
            <w:sz w:val="20"/>
            <w:szCs w:val="20"/>
          </w:rPr>
          <w:t>статьи 11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"Об электронной подписи",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"Единый портал государственных и муниципальных услуг (функций)". 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обращения;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на бумажном носителе через МФЦ в соответствии с соглашением о взаимодействии, заключенным между МФЦ и Министерством, предоставляющими государственную услугу, с момента вступления в силу соглашения о взаимодействии.</w:t>
      </w:r>
    </w:p>
    <w:p w:rsidR="00896E1D" w:rsidRDefault="00896E1D" w:rsidP="00896E1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 или в случае, предусмотренном в </w:t>
      </w:r>
      <w:hyperlink w:anchor="Par52" w:history="1">
        <w:r>
          <w:rPr>
            <w:rFonts w:ascii="Arial" w:hAnsi="Arial" w:cs="Arial"/>
            <w:color w:val="0000FF"/>
            <w:sz w:val="20"/>
            <w:szCs w:val="20"/>
          </w:rPr>
          <w:t>подпункте 3</w:t>
        </w:r>
      </w:hyperlink>
      <w:r>
        <w:rPr>
          <w:rFonts w:ascii="Arial" w:hAnsi="Arial" w:cs="Arial"/>
          <w:sz w:val="20"/>
          <w:szCs w:val="20"/>
        </w:rPr>
        <w:t xml:space="preserve"> настоящего пункта, документы, предусмотренные </w:t>
      </w:r>
      <w:hyperlink w:anchor="Par10" w:history="1">
        <w:r>
          <w:rPr>
            <w:rFonts w:ascii="Arial" w:hAnsi="Arial" w:cs="Arial"/>
            <w:color w:val="0000FF"/>
            <w:sz w:val="20"/>
            <w:szCs w:val="20"/>
          </w:rPr>
          <w:t>пунктами 2.7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21" w:history="1">
        <w:r>
          <w:rPr>
            <w:rFonts w:ascii="Arial" w:hAnsi="Arial" w:cs="Arial"/>
            <w:color w:val="0000FF"/>
            <w:sz w:val="20"/>
            <w:szCs w:val="20"/>
          </w:rPr>
          <w:t>2.11</w:t>
        </w:r>
      </w:hyperlink>
      <w:r>
        <w:rPr>
          <w:rFonts w:ascii="Arial" w:hAnsi="Arial" w:cs="Arial"/>
          <w:sz w:val="20"/>
          <w:szCs w:val="20"/>
        </w:rPr>
        <w:t xml:space="preserve"> Регламента, представляются в Министерство в электронной форме и прикрепляются к заявлению (уведомлению), подписанному усиленной квалифицированной электронной подписью заявителя.</w:t>
      </w:r>
    </w:p>
    <w:p w:rsidR="00CD2CC1" w:rsidRPr="00896E1D" w:rsidRDefault="00CD2CC1" w:rsidP="00896E1D">
      <w:bookmarkStart w:id="9" w:name="_GoBack"/>
      <w:bookmarkEnd w:id="9"/>
    </w:p>
    <w:sectPr w:rsidR="00CD2CC1" w:rsidRPr="00896E1D" w:rsidSect="0080375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466"/>
    <w:rsid w:val="00174B3A"/>
    <w:rsid w:val="00896E1D"/>
    <w:rsid w:val="00911466"/>
    <w:rsid w:val="00CD2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CE2B71-22E6-4B8A-8DB4-5EB9B8EC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14723&amp;dst=100414" TargetMode="External"/><Relationship Id="rId18" Type="http://schemas.openxmlformats.org/officeDocument/2006/relationships/hyperlink" Target="https://login.consultant.ru/link/?req=doc&amp;base=LAW&amp;n=511565&amp;dst=3291" TargetMode="External"/><Relationship Id="rId26" Type="http://schemas.openxmlformats.org/officeDocument/2006/relationships/hyperlink" Target="https://login.consultant.ru/link/?req=doc&amp;base=LAW&amp;n=511565&amp;dst=3054" TargetMode="External"/><Relationship Id="rId39" Type="http://schemas.openxmlformats.org/officeDocument/2006/relationships/hyperlink" Target="https://login.consultant.ru/link/?req=doc&amp;base=LAW&amp;n=511602&amp;dst=100088" TargetMode="External"/><Relationship Id="rId21" Type="http://schemas.openxmlformats.org/officeDocument/2006/relationships/hyperlink" Target="https://login.consultant.ru/link/?req=doc&amp;base=LAW&amp;n=511565&amp;dst=2910" TargetMode="External"/><Relationship Id="rId34" Type="http://schemas.openxmlformats.org/officeDocument/2006/relationships/hyperlink" Target="https://login.consultant.ru/link/?req=doc&amp;base=LAW&amp;n=523235&amp;dst=100010" TargetMode="External"/><Relationship Id="rId7" Type="http://schemas.openxmlformats.org/officeDocument/2006/relationships/hyperlink" Target="https://login.consultant.ru/link/?req=doc&amp;base=LAW&amp;n=511565&amp;dst=1020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565&amp;dst=3192" TargetMode="External"/><Relationship Id="rId20" Type="http://schemas.openxmlformats.org/officeDocument/2006/relationships/hyperlink" Target="https://login.consultant.ru/link/?req=doc&amp;base=LAW&amp;n=511565&amp;dst=3049" TargetMode="External"/><Relationship Id="rId29" Type="http://schemas.openxmlformats.org/officeDocument/2006/relationships/hyperlink" Target="https://login.consultant.ru/link/?req=doc&amp;base=LAW&amp;n=511565&amp;dst=404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4723&amp;dst=100405" TargetMode="External"/><Relationship Id="rId11" Type="http://schemas.openxmlformats.org/officeDocument/2006/relationships/hyperlink" Target="https://login.consultant.ru/link/?req=doc&amp;base=LAW&amp;n=511565&amp;dst=3213" TargetMode="External"/><Relationship Id="rId24" Type="http://schemas.openxmlformats.org/officeDocument/2006/relationships/hyperlink" Target="https://login.consultant.ru/link/?req=doc&amp;base=LAW&amp;n=511565&amp;dst=3177" TargetMode="External"/><Relationship Id="rId32" Type="http://schemas.openxmlformats.org/officeDocument/2006/relationships/hyperlink" Target="https://login.consultant.ru/link/?req=doc&amp;base=RLAW021&amp;n=215098&amp;dst=100009" TargetMode="External"/><Relationship Id="rId37" Type="http://schemas.openxmlformats.org/officeDocument/2006/relationships/hyperlink" Target="https://login.consultant.ru/link/?req=doc&amp;base=LAW&amp;n=523235&amp;dst=339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1565&amp;dst=1596" TargetMode="External"/><Relationship Id="rId15" Type="http://schemas.openxmlformats.org/officeDocument/2006/relationships/hyperlink" Target="https://login.consultant.ru/link/?req=doc&amp;base=RLAW021&amp;n=214723&amp;dst=100425" TargetMode="External"/><Relationship Id="rId23" Type="http://schemas.openxmlformats.org/officeDocument/2006/relationships/hyperlink" Target="https://login.consultant.ru/link/?req=doc&amp;base=LAW&amp;n=511565&amp;dst=3219" TargetMode="External"/><Relationship Id="rId28" Type="http://schemas.openxmlformats.org/officeDocument/2006/relationships/hyperlink" Target="https://login.consultant.ru/link/?req=doc&amp;base=LAW&amp;n=511565&amp;dst=3054" TargetMode="External"/><Relationship Id="rId36" Type="http://schemas.openxmlformats.org/officeDocument/2006/relationships/hyperlink" Target="https://login.consultant.ru/link/?req=doc&amp;base=LAW&amp;n=523235&amp;dst=290" TargetMode="External"/><Relationship Id="rId10" Type="http://schemas.openxmlformats.org/officeDocument/2006/relationships/hyperlink" Target="https://login.consultant.ru/link/?req=doc&amp;base=LAW&amp;n=511565&amp;dst=3213" TargetMode="External"/><Relationship Id="rId19" Type="http://schemas.openxmlformats.org/officeDocument/2006/relationships/hyperlink" Target="https://login.consultant.ru/link/?req=doc&amp;base=RLAW021&amp;n=215098&amp;dst=100007" TargetMode="External"/><Relationship Id="rId31" Type="http://schemas.openxmlformats.org/officeDocument/2006/relationships/hyperlink" Target="https://login.consultant.ru/link/?req=doc&amp;base=LAW&amp;n=511565&amp;dst=100628" TargetMode="External"/><Relationship Id="rId4" Type="http://schemas.openxmlformats.org/officeDocument/2006/relationships/hyperlink" Target="https://login.consultant.ru/link/?req=doc&amp;base=RLAW021&amp;n=214723&amp;dst=100394" TargetMode="External"/><Relationship Id="rId9" Type="http://schemas.openxmlformats.org/officeDocument/2006/relationships/hyperlink" Target="https://login.consultant.ru/link/?req=doc&amp;base=LAW&amp;n=511565&amp;dst=341" TargetMode="External"/><Relationship Id="rId14" Type="http://schemas.openxmlformats.org/officeDocument/2006/relationships/hyperlink" Target="https://login.consultant.ru/link/?req=doc&amp;base=LAW&amp;n=511565&amp;dst=102044" TargetMode="External"/><Relationship Id="rId22" Type="http://schemas.openxmlformats.org/officeDocument/2006/relationships/hyperlink" Target="https://login.consultant.ru/link/?req=doc&amp;base=LAW&amp;n=511565&amp;dst=448" TargetMode="External"/><Relationship Id="rId27" Type="http://schemas.openxmlformats.org/officeDocument/2006/relationships/hyperlink" Target="https://login.consultant.ru/link/?req=doc&amp;base=LAW&amp;n=511565" TargetMode="External"/><Relationship Id="rId30" Type="http://schemas.openxmlformats.org/officeDocument/2006/relationships/hyperlink" Target="https://login.consultant.ru/link/?req=doc&amp;base=LAW&amp;n=511565&amp;dst=4044" TargetMode="External"/><Relationship Id="rId35" Type="http://schemas.openxmlformats.org/officeDocument/2006/relationships/hyperlink" Target="https://login.consultant.ru/link/?req=doc&amp;base=LAW&amp;n=523235&amp;dst=43" TargetMode="External"/><Relationship Id="rId8" Type="http://schemas.openxmlformats.org/officeDocument/2006/relationships/hyperlink" Target="https://login.consultant.ru/link/?req=doc&amp;base=LAW&amp;n=511565&amp;dst=34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1565&amp;dst=344" TargetMode="External"/><Relationship Id="rId17" Type="http://schemas.openxmlformats.org/officeDocument/2006/relationships/hyperlink" Target="https://login.consultant.ru/link/?req=doc&amp;base=LAW&amp;n=511565&amp;dst=4738" TargetMode="External"/><Relationship Id="rId25" Type="http://schemas.openxmlformats.org/officeDocument/2006/relationships/hyperlink" Target="https://login.consultant.ru/link/?req=doc&amp;base=LAW&amp;n=511565&amp;dst=3300" TargetMode="External"/><Relationship Id="rId33" Type="http://schemas.openxmlformats.org/officeDocument/2006/relationships/hyperlink" Target="https://login.consultant.ru/link/?req=doc&amp;base=LAW&amp;n=511565&amp;dst=4072" TargetMode="External"/><Relationship Id="rId38" Type="http://schemas.openxmlformats.org/officeDocument/2006/relationships/hyperlink" Target="https://login.consultant.ru/link/?req=doc&amp;base=LAW&amp;n=523235&amp;dst=3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3088</Words>
  <Characters>17603</Characters>
  <Application>Microsoft Office Word</Application>
  <DocSecurity>0</DocSecurity>
  <Lines>146</Lines>
  <Paragraphs>41</Paragraphs>
  <ScaleCrop>false</ScaleCrop>
  <Company/>
  <LinksUpToDate>false</LinksUpToDate>
  <CharactersWithSpaces>20650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3</cp:revision>
  <dcterms:created xsi:type="dcterms:W3CDTF">2026-03-11T07:44:00Z</dcterms:created>
  <dcterms:modified xsi:type="dcterms:W3CDTF">2026-03-11T07:59:00Z</dcterms:modified>
</cp:coreProperties>
</file>