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Размер платы, взимаемой с заявителя при предоставлении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услуги, и способы ее взимания, в случаях,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предусмотренных федеральными законами, принимаемыми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ними иными нормативными правовыми актами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нормативными правовыми актами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Пензенской области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CF2E87">
        <w:rPr>
          <w:rFonts w:ascii="Calibri" w:hAnsi="Calibri" w:cs="Calibri"/>
        </w:rPr>
        <w:t>13</w:t>
      </w:r>
      <w:bookmarkStart w:id="0" w:name="_GoBack"/>
      <w:bookmarkEnd w:id="0"/>
      <w:r>
        <w:rPr>
          <w:rFonts w:ascii="Calibri" w:hAnsi="Calibri" w:cs="Calibri"/>
        </w:rPr>
        <w:t>. Государственная услуга предоставляется бесплатно.</w:t>
      </w:r>
    </w:p>
    <w:p w:rsidR="00C10BBD" w:rsidRDefault="00C10BBD"/>
    <w:sectPr w:rsidR="00C10BBD" w:rsidSect="00BF4C4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3563D2"/>
    <w:rsid w:val="007E40DC"/>
    <w:rsid w:val="00B13CAA"/>
    <w:rsid w:val="00C10BBD"/>
    <w:rsid w:val="00C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2026-03-13T14:11:00Z</dcterms:modified>
</cp:coreProperties>
</file>