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>
        <w:trPr>
          <w:trHeight w:val="397"/>
        </w:trPr>
        <w:tc>
          <w:tcPr>
            <w:tcW w:w="96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  <w:framePr w:h="2551" w:wrap="around" w:vAnchor="page" w:hAnchor="page" w:x="1388" w:y="2409" w:hRule="atLeast"/>
            </w:pPr>
            <w:r>
              <w:rPr>
                <w:b/>
                <w:sz w:val="28"/>
              </w:rPr>
            </w:r>
            <w:r/>
          </w:p>
        </w:tc>
      </w:tr>
      <w:tr>
        <w:trPr/>
        <w:tc>
          <w:tcPr>
            <w:tcW w:w="96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  <w:framePr w:h="2551" w:wrap="around" w:vAnchor="page" w:hAnchor="page" w:x="1388" w:y="2409" w:hRule="atLeast"/>
            </w:pPr>
            <w:r>
              <w:rPr>
                <w:b/>
                <w:sz w:val="28"/>
                <w:szCs w:val="28"/>
              </w:rPr>
              <w:t xml:space="preserve">МИНИСТЕРСТВО ГРАДОСТРОИТЕЛЬСТВА И АРХИТЕКТУРЫ ПЕНЗЕНСКОЙ ОБЛАСТИ</w:t>
            </w:r>
            <w:r/>
          </w:p>
        </w:tc>
      </w:tr>
      <w:tr>
        <w:trPr>
          <w:trHeight w:val="397"/>
        </w:trPr>
        <w:tc>
          <w:tcPr>
            <w:tcW w:w="960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framePr w:h="2551" w:wrap="around" w:vAnchor="page" w:hAnchor="page" w:x="1388" w:y="2409" w:hRule="atLeast"/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9600" w:type="dxa"/>
            <w:textDirection w:val="lrTb"/>
            <w:noWrap w:val="false"/>
          </w:tcPr>
          <w:p>
            <w:pPr>
              <w:pStyle w:val="689"/>
              <w:rPr>
                <w:sz w:val="32"/>
                <w:szCs w:val="32"/>
              </w:rPr>
              <w:framePr w:h="2551" w:wrap="around" w:vAnchor="page" w:hAnchor="page" w:x="1388" w:y="2409" w:hRule="atLeast"/>
            </w:pPr>
            <w:r>
              <w:rPr>
                <w:sz w:val="32"/>
                <w:szCs w:val="32"/>
              </w:rPr>
              <w:t xml:space="preserve">П</w:t>
            </w:r>
            <w:r>
              <w:rPr>
                <w:sz w:val="32"/>
                <w:szCs w:val="32"/>
              </w:rPr>
              <w:t xml:space="preserve"> Р И К А З</w:t>
            </w:r>
            <w:r/>
          </w:p>
        </w:tc>
      </w:tr>
      <w:tr>
        <w:trPr>
          <w:trHeight w:val="340"/>
        </w:trPr>
        <w:tc>
          <w:tcPr>
            <w:tcW w:w="9600" w:type="dxa"/>
            <w:vAlign w:val="center"/>
            <w:textDirection w:val="lrTb"/>
            <w:noWrap w:val="false"/>
          </w:tcPr>
          <w:p>
            <w:pPr>
              <w:pStyle w:val="689"/>
              <w:framePr w:h="2551" w:wrap="around" w:vAnchor="page" w:hAnchor="page" w:x="1388" w:y="2409" w:hRule="atLeast"/>
            </w:pPr>
            <w:r/>
            <w:r/>
          </w:p>
        </w:tc>
      </w:tr>
    </w:tbl>
    <w:p>
      <w:pPr>
        <w:jc w:val="center"/>
      </w:pPr>
      <w:r>
        <w:rPr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-247650</wp:posOffset>
                </wp:positionV>
                <wp:extent cx="728980" cy="967105"/>
                <wp:effectExtent l="0" t="0" r="0" b="4445"/>
                <wp:wrapSquare wrapText="bothSides"/>
                <wp:docPr id="1" name="Рисунок 1" descr="Герб ППО (вектор) черная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Герб ППО (вектор) черная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8980" cy="967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7.1pt;mso-position-horizontal:absolute;mso-position-vertical-relative:text;margin-top:-19.5pt;mso-position-vertical:absolute;width:57.4pt;height:76.1pt;" stroked="false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>
        <w:trPr/>
        <w:tc>
          <w:tcPr>
            <w:tcW w:w="284" w:type="dxa"/>
            <w:vAlign w:val="bottom"/>
            <w:textDirection w:val="lrTb"/>
            <w:noWrap w:val="false"/>
          </w:tcPr>
          <w:p>
            <w:pPr>
              <w:rPr>
                <w:sz w:val="24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03.03.2023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framePr w:wrap="around" w:vAnchor="page" w:hAnchor="page" w:x="3892" w:y="4915"/>
            </w:pPr>
            <w:r>
              <w:rPr>
                <w:sz w:val="24"/>
                <w:szCs w:val="24"/>
              </w:rPr>
              <w:t xml:space="preserve">№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85/оп</w:t>
            </w:r>
            <w:r/>
          </w:p>
        </w:tc>
      </w:tr>
      <w:tr>
        <w:trPr/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rPr>
                <w:sz w:val="10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 </w:t>
            </w:r>
            <w:r/>
          </w:p>
          <w:p>
            <w:pPr>
              <w:jc w:val="center"/>
              <w:rPr>
                <w:sz w:val="24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г. Пенза</w:t>
            </w:r>
            <w:r>
              <w:rPr>
                <w:b/>
                <w:sz w:val="24"/>
              </w:rPr>
              <w:t xml:space="preserve"> </w:t>
            </w:r>
            <w:r/>
          </w:p>
        </w:tc>
      </w:tr>
    </w:tbl>
    <w:p>
      <w:pPr>
        <w:jc w:val="center"/>
        <w:spacing w:line="192" w:lineRule="auto"/>
        <w:rPr>
          <w:b/>
          <w:sz w:val="30"/>
        </w:rPr>
      </w:pPr>
      <w:r>
        <w:rPr>
          <w:b/>
          <w:sz w:val="30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/>
    </w:p>
    <w:p>
      <w:pPr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</w:r>
      <w:r/>
    </w:p>
    <w:p>
      <w:pPr>
        <w:ind w:firstLine="567"/>
        <w:jc w:val="center"/>
        <w:rPr>
          <w:rFonts w:eastAsia="Calibri"/>
          <w:b/>
          <w:sz w:val="27"/>
          <w:szCs w:val="24"/>
        </w:rPr>
      </w:pPr>
      <w:r>
        <w:rPr>
          <w:rFonts w:eastAsia="Calibri"/>
          <w:b/>
          <w:sz w:val="27"/>
          <w:szCs w:val="24"/>
        </w:rPr>
        <w:t xml:space="preserve">Об утверждении Докладов о правоприменительной практике контрольной (надзорной) деятельности Министерства градостроительства и архитектуры Пензенской области за 2022 год</w:t>
      </w:r>
      <w:r/>
    </w:p>
    <w:p>
      <w:pPr>
        <w:ind w:firstLine="567"/>
        <w:jc w:val="center"/>
        <w:rPr>
          <w:rFonts w:eastAsia="Calibri"/>
          <w:sz w:val="27"/>
        </w:rPr>
      </w:pPr>
      <w:r>
        <w:rPr>
          <w:rFonts w:eastAsia="Calibri"/>
          <w:sz w:val="27"/>
        </w:rPr>
      </w:r>
      <w:r/>
    </w:p>
    <w:p>
      <w:pPr>
        <w:ind w:left="0" w:right="0" w:firstLine="567"/>
        <w:jc w:val="both"/>
        <w:rPr>
          <w:sz w:val="27"/>
        </w:rPr>
      </w:pPr>
      <w:r>
        <w:rPr>
          <w:sz w:val="27"/>
          <w:szCs w:val="28"/>
        </w:rPr>
      </w:r>
      <w:r>
        <w:rPr>
          <w:rFonts w:eastAsia="Calibri"/>
          <w:sz w:val="27"/>
          <w:szCs w:val="24"/>
        </w:rPr>
        <w:t xml:space="preserve">В соответствии со ст. 47 Федерального закона от 31.07.2020 г. № 248-ФЗ «О государственном контроле (надзоре) и муниципальном контроле в Российской Федерации»,</w:t>
      </w:r>
      <w:r>
        <w:rPr>
          <w:sz w:val="27"/>
          <w:szCs w:val="28"/>
        </w:rPr>
        <w:t xml:space="preserve"> руководствуясь постановлением Правительства Пензенской област</w:t>
      </w:r>
      <w:r>
        <w:rPr>
          <w:sz w:val="27"/>
          <w:szCs w:val="28"/>
          <w:highlight w:val="white"/>
        </w:rPr>
        <w:t xml:space="preserve">и от 20.01.2022 г. № 29-пП «Об</w:t>
      </w:r>
      <w:r>
        <w:rPr>
          <w:sz w:val="27"/>
          <w:szCs w:val="28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b/>
          <w:sz w:val="27"/>
          <w:szCs w:val="28"/>
        </w:rPr>
        <w:t xml:space="preserve">п</w:t>
      </w:r>
      <w:r>
        <w:rPr>
          <w:b/>
          <w:sz w:val="27"/>
          <w:szCs w:val="28"/>
        </w:rPr>
        <w:t xml:space="preserve"> р и к а з ы в а ю: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sz w:val="27"/>
          <w:szCs w:val="28"/>
        </w:rPr>
        <w:t xml:space="preserve">1. Утвердить </w:t>
      </w:r>
      <w:r>
        <w:rPr>
          <w:rFonts w:eastAsia="Calibri"/>
          <w:sz w:val="27"/>
          <w:szCs w:val="24"/>
        </w:rPr>
        <w:t xml:space="preserve">Доклад о правоприменительной практике при осуществлении регионального государственного строительного надзора на территории Пензенской области за 2022 год.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rFonts w:eastAsia="Calibri"/>
          <w:sz w:val="27"/>
          <w:szCs w:val="24"/>
        </w:rPr>
        <w:t xml:space="preserve">2. Утвердить </w:t>
      </w:r>
      <w:r>
        <w:rPr>
          <w:rFonts w:eastAsia="Calibri"/>
          <w:sz w:val="27"/>
          <w:szCs w:val="24"/>
        </w:rPr>
        <w:t xml:space="preserve">Доклад о правоприменительной практике при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за 2022 год</w:t>
      </w:r>
      <w:r>
        <w:rPr>
          <w:rFonts w:eastAsia="Calibri"/>
          <w:sz w:val="27"/>
          <w:szCs w:val="24"/>
        </w:rPr>
        <w:t xml:space="preserve">.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rFonts w:eastAsia="Calibri"/>
          <w:sz w:val="27"/>
          <w:szCs w:val="24"/>
        </w:rPr>
        <w:t xml:space="preserve">3. Утвердить Доклад о правоприменительной практике при осуществлении </w:t>
      </w:r>
      <w:r>
        <w:rPr>
          <w:rFonts w:eastAsia="Calibri"/>
          <w:sz w:val="27"/>
          <w:szCs w:val="27"/>
        </w:rPr>
        <w:t xml:space="preserve"> государственного контроля </w:t>
      </w:r>
      <w:r>
        <w:rPr>
          <w:rFonts w:eastAsia="Calibri"/>
          <w:sz w:val="27"/>
          <w:szCs w:val="27"/>
        </w:rPr>
        <w:t xml:space="preserve">(надзора) в области долевого строительства многоквартирных домов и (или) иных объектов недвижимости, а также за деятельностью жилищно-строительных кооперативов, связанной со строительством многоквартирных домов, на территории Пензенской области за 2022 год</w:t>
      </w:r>
      <w:r>
        <w:rPr>
          <w:rFonts w:eastAsia="Calibri"/>
          <w:sz w:val="27"/>
          <w:szCs w:val="24"/>
        </w:rPr>
        <w:t xml:space="preserve">.</w:t>
      </w:r>
      <w:r/>
    </w:p>
    <w:p>
      <w:pPr>
        <w:ind w:firstLine="567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4. Настоящий приказ разместить (опубликовать) на официальном сайте Министерства градостроительства и архитектуры Пензенской области в информационно-телекоммуникационной сети «Интернет».</w:t>
      </w:r>
      <w:r/>
    </w:p>
    <w:p>
      <w:pPr>
        <w:ind w:firstLine="567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5. Контроль за исполнением настоящего приказа возложить на Управление (Инспекцию) государственного строительного надзора, долевого строительства и </w:t>
      </w:r>
      <w:r>
        <w:rPr>
          <w:sz w:val="27"/>
          <w:szCs w:val="28"/>
        </w:rPr>
        <w:t xml:space="preserve">сохранности</w:t>
      </w:r>
      <w:r>
        <w:rPr>
          <w:sz w:val="27"/>
          <w:szCs w:val="28"/>
        </w:rPr>
        <w:t xml:space="preserve"> автомобильных дорог.</w:t>
      </w:r>
      <w:r/>
    </w:p>
    <w:p>
      <w:pPr>
        <w:jc w:val="both"/>
        <w:spacing w:line="276" w:lineRule="auto"/>
        <w:rPr>
          <w:sz w:val="27"/>
          <w:szCs w:val="27"/>
        </w:rPr>
      </w:pPr>
      <w:r>
        <w:rPr>
          <w:sz w:val="27"/>
          <w:szCs w:val="27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5114"/>
        <w:gridCol w:w="4740"/>
      </w:tblGrid>
      <w:tr>
        <w:trPr/>
        <w:tc>
          <w:tcPr>
            <w:tcW w:w="5211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  <w:p>
            <w:pPr>
              <w:jc w:val="both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</w:rPr>
              <w:t xml:space="preserve">Министр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  <w:p>
            <w:pPr>
              <w:jc w:val="right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А.П. Итальянцев </w:t>
            </w:r>
            <w:r/>
          </w:p>
        </w:tc>
      </w:tr>
    </w:tbl>
    <w:p>
      <w:pPr>
        <w:jc w:val="right"/>
        <w:rPr>
          <w:sz w:val="24"/>
          <w:szCs w:val="4"/>
        </w:rPr>
      </w:pPr>
      <w:r>
        <w:rPr>
          <w:sz w:val="24"/>
          <w:szCs w:val="4"/>
        </w:rPr>
      </w:r>
      <w:r/>
    </w:p>
    <w:p>
      <w:pPr>
        <w:jc w:val="right"/>
        <w:rPr>
          <w:sz w:val="24"/>
          <w:szCs w:val="4"/>
        </w:rPr>
      </w:pPr>
      <w:r>
        <w:rPr>
          <w:sz w:val="24"/>
          <w:szCs w:val="4"/>
        </w:rPr>
        <w:t xml:space="preserve">Приложение №1</w:t>
      </w:r>
      <w:r/>
    </w:p>
    <w:p>
      <w:pPr>
        <w:jc w:val="right"/>
        <w:rPr>
          <w:sz w:val="24"/>
          <w:szCs w:val="4"/>
        </w:rPr>
      </w:pPr>
      <w:r>
        <w:rPr>
          <w:sz w:val="24"/>
          <w:szCs w:val="4"/>
        </w:rPr>
        <w:t xml:space="preserve">к приказу</w:t>
      </w:r>
      <w:r/>
    </w:p>
    <w:p>
      <w:pPr>
        <w:jc w:val="right"/>
        <w:rPr>
          <w:sz w:val="24"/>
          <w:szCs w:val="4"/>
        </w:rPr>
      </w:pPr>
      <w:r>
        <w:rPr>
          <w:sz w:val="24"/>
          <w:szCs w:val="4"/>
        </w:rPr>
        <w:t xml:space="preserve">Министерства градостроительства</w:t>
      </w:r>
      <w:r/>
    </w:p>
    <w:p>
      <w:pPr>
        <w:jc w:val="right"/>
        <w:rPr>
          <w:sz w:val="24"/>
          <w:szCs w:val="4"/>
        </w:rPr>
      </w:pPr>
      <w:r>
        <w:rPr>
          <w:sz w:val="24"/>
          <w:szCs w:val="4"/>
        </w:rPr>
        <w:t xml:space="preserve">и архитектуры</w:t>
      </w:r>
      <w:r/>
    </w:p>
    <w:p>
      <w:pPr>
        <w:jc w:val="right"/>
        <w:rPr>
          <w:sz w:val="24"/>
          <w:szCs w:val="4"/>
        </w:rPr>
      </w:pPr>
      <w:r>
        <w:rPr>
          <w:sz w:val="24"/>
          <w:szCs w:val="4"/>
        </w:rPr>
        <w:t xml:space="preserve">Пензенской области</w:t>
      </w:r>
      <w:r/>
    </w:p>
    <w:p>
      <w:pPr>
        <w:jc w:val="right"/>
        <w:rPr>
          <w:sz w:val="24"/>
          <w:szCs w:val="4"/>
        </w:rPr>
      </w:pPr>
      <w:r>
        <w:rPr>
          <w:sz w:val="24"/>
          <w:szCs w:val="4"/>
        </w:rPr>
        <w:t xml:space="preserve">                                                                                                       от «03» марта 2023 №85/оп</w:t>
      </w:r>
      <w:r/>
    </w:p>
    <w:p>
      <w:pPr>
        <w:jc w:val="center"/>
        <w:rPr>
          <w:sz w:val="24"/>
          <w:szCs w:val="4"/>
        </w:rPr>
      </w:pPr>
      <w:r>
        <w:rPr>
          <w:sz w:val="24"/>
          <w:szCs w:val="4"/>
        </w:rPr>
        <w:t xml:space="preserve">            </w:t>
      </w:r>
      <w:r/>
    </w:p>
    <w:p>
      <w:pPr>
        <w:jc w:val="center"/>
        <w:rPr>
          <w:sz w:val="24"/>
          <w:szCs w:val="4"/>
        </w:rPr>
      </w:pPr>
      <w:r>
        <w:rPr>
          <w:sz w:val="24"/>
          <w:szCs w:val="4"/>
        </w:rPr>
      </w:r>
      <w:r/>
    </w:p>
    <w:p>
      <w:pPr>
        <w:jc w:val="center"/>
        <w:rPr>
          <w:sz w:val="24"/>
          <w:szCs w:val="4"/>
        </w:rPr>
      </w:pPr>
      <w:r>
        <w:rPr>
          <w:sz w:val="24"/>
          <w:szCs w:val="4"/>
        </w:rPr>
      </w:r>
      <w:r/>
    </w:p>
    <w:p>
      <w:pPr>
        <w:ind w:firstLine="567"/>
        <w:jc w:val="both"/>
        <w:rPr>
          <w:color w:val="000000"/>
          <w:sz w:val="28"/>
          <w:szCs w:val="4"/>
        </w:rPr>
      </w:pPr>
      <w:r>
        <w:rPr>
          <w:color w:val="000000"/>
          <w:sz w:val="28"/>
          <w:szCs w:val="4"/>
        </w:rPr>
      </w:r>
      <w:r/>
    </w:p>
    <w:p>
      <w:pPr>
        <w:jc w:val="both"/>
        <w:rPr>
          <w:b/>
          <w:color w:val="000000"/>
          <w:sz w:val="28"/>
          <w:szCs w:val="4"/>
        </w:rPr>
      </w:pPr>
      <w:r>
        <w:rPr>
          <w:b/>
          <w:color w:val="000000"/>
          <w:sz w:val="28"/>
          <w:szCs w:val="4"/>
        </w:rPr>
      </w:r>
      <w:r/>
    </w:p>
    <w:p>
      <w:pPr>
        <w:jc w:val="center"/>
        <w:rPr>
          <w:b/>
          <w:color w:val="000000"/>
          <w:sz w:val="27"/>
          <w:szCs w:val="4"/>
        </w:rPr>
      </w:pPr>
      <w:r>
        <w:rPr>
          <w:b/>
          <w:color w:val="000000" w:themeColor="text1"/>
          <w:sz w:val="27"/>
        </w:rPr>
        <w:t xml:space="preserve">Доклад о правоприменительной практике при осуществлении регионального государственного строительного надзора на территории Пензенской области за 2022 год </w:t>
      </w:r>
      <w:r/>
    </w:p>
    <w:p>
      <w:pPr>
        <w:jc w:val="center"/>
        <w:rPr>
          <w:b/>
          <w:color w:val="000000"/>
          <w:sz w:val="27"/>
          <w:szCs w:val="4"/>
        </w:rPr>
      </w:pPr>
      <w:r>
        <w:rPr>
          <w:b/>
          <w:color w:val="000000"/>
          <w:sz w:val="27"/>
          <w:szCs w:val="4"/>
        </w:rPr>
      </w:r>
      <w:r/>
    </w:p>
    <w:p>
      <w:pPr>
        <w:jc w:val="center"/>
        <w:rPr>
          <w:b/>
          <w:color w:val="000000"/>
          <w:sz w:val="27"/>
          <w:szCs w:val="4"/>
        </w:rPr>
      </w:pPr>
      <w:r>
        <w:rPr>
          <w:b/>
          <w:color w:val="000000"/>
          <w:sz w:val="27"/>
          <w:szCs w:val="4"/>
        </w:rPr>
        <w:t xml:space="preserve">Раздел </w:t>
      </w:r>
      <w:r>
        <w:rPr>
          <w:b/>
          <w:color w:val="000000"/>
          <w:sz w:val="27"/>
          <w:szCs w:val="4"/>
          <w:lang w:val="en-US"/>
        </w:rPr>
        <w:t xml:space="preserve">I</w:t>
      </w:r>
      <w:r>
        <w:rPr>
          <w:b/>
          <w:color w:val="000000"/>
          <w:sz w:val="27"/>
          <w:szCs w:val="4"/>
        </w:rPr>
        <w:t xml:space="preserve">. Общие положения</w:t>
      </w:r>
      <w:r/>
    </w:p>
    <w:p>
      <w:pPr>
        <w:jc w:val="center"/>
        <w:rPr>
          <w:b/>
          <w:color w:val="000000"/>
          <w:sz w:val="27"/>
          <w:szCs w:val="4"/>
        </w:rPr>
      </w:pPr>
      <w:r>
        <w:rPr>
          <w:b/>
          <w:color w:val="000000"/>
          <w:sz w:val="27"/>
          <w:szCs w:val="4"/>
        </w:rPr>
      </w:r>
      <w:r/>
    </w:p>
    <w:p>
      <w:pPr>
        <w:pStyle w:val="862"/>
        <w:numPr>
          <w:ilvl w:val="0"/>
          <w:numId w:val="12"/>
        </w:numPr>
        <w:ind w:left="0" w:firstLine="567"/>
        <w:jc w:val="both"/>
        <w:rPr>
          <w:b/>
          <w:color w:val="000000"/>
          <w:sz w:val="27"/>
          <w:szCs w:val="4"/>
        </w:rPr>
      </w:pPr>
      <w:r>
        <w:rPr>
          <w:color w:val="000000" w:themeColor="text1"/>
          <w:sz w:val="27"/>
        </w:rPr>
        <w:t xml:space="preserve">Обзор правоприменительной практики контрольной (надзорной) деятельности при осуществлении регионального государственного строительного надзора на территории Пензенской области Министерством градостроительства и архитектуры Пензенской области (далее - </w:t>
      </w:r>
      <w:r>
        <w:rPr>
          <w:color w:val="000000" w:themeColor="text1"/>
          <w:sz w:val="27"/>
        </w:rPr>
        <w:t xml:space="preserve">Минград</w:t>
      </w:r>
      <w:r>
        <w:rPr>
          <w:color w:val="000000" w:themeColor="text1"/>
          <w:sz w:val="27"/>
        </w:rPr>
        <w:t xml:space="preserve"> Пензенской области) подготовлен в соответствии со статьей 47 Федерального закона от 31 июля 2020 №248-ФЗ «О государственном контроле (надзоре) и муниципальном контроле в Российской Федерации (далее - Федеральный закон №248-ФЗ).</w:t>
      </w:r>
      <w:r/>
    </w:p>
    <w:p>
      <w:pPr>
        <w:pStyle w:val="862"/>
        <w:numPr>
          <w:ilvl w:val="0"/>
          <w:numId w:val="12"/>
        </w:numPr>
        <w:ind w:left="0" w:firstLine="567"/>
        <w:jc w:val="both"/>
        <w:rPr>
          <w:color w:val="000000"/>
          <w:sz w:val="27"/>
        </w:rPr>
      </w:pPr>
      <w:r>
        <w:rPr>
          <w:color w:val="000000" w:themeColor="text1"/>
          <w:sz w:val="27"/>
          <w:szCs w:val="28"/>
        </w:rPr>
        <w:t xml:space="preserve">Согласно постановлению Правительства П</w:t>
      </w:r>
      <w:r>
        <w:rPr>
          <w:color w:val="000000" w:themeColor="text1"/>
          <w:sz w:val="27"/>
          <w:szCs w:val="28"/>
        </w:rPr>
        <w:t xml:space="preserve">ензенской области от 24.09.2021 №629-пП «О внесении изменений в Положение о Министерстве строительства и дорожного хозяйства Пензенской области, утвержденное постановлением Правительства Пензенской области от 23.01.2017 №13-пП (с последующими изменениями),</w:t>
      </w:r>
      <w:r>
        <w:rPr>
          <w:color w:val="000000" w:themeColor="text1"/>
          <w:sz w:val="27"/>
          <w:szCs w:val="28"/>
        </w:rPr>
        <w:t xml:space="preserve"> и признании утратившими силу отдельных нормативных правовых актов Правительства Пензенской области» Министерство строительства и дорожного хозяйства Пензенской области (далее - Минстрой Пензенской области) являлось правопреемником по правам и обязанностям</w:t>
      </w:r>
      <w:r>
        <w:rPr>
          <w:color w:val="000000" w:themeColor="text1"/>
          <w:sz w:val="27"/>
          <w:szCs w:val="28"/>
        </w:rPr>
        <w:t xml:space="preserve"> </w:t>
      </w:r>
      <w:r>
        <w:rPr>
          <w:color w:val="000000" w:themeColor="text1"/>
          <w:sz w:val="27"/>
          <w:szCs w:val="28"/>
        </w:rPr>
        <w:t xml:space="preserve">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области, за</w:t>
      </w:r>
      <w:r>
        <w:rPr>
          <w:color w:val="000000" w:themeColor="text1"/>
          <w:sz w:val="27"/>
          <w:szCs w:val="28"/>
        </w:rPr>
        <w:t xml:space="preserve"> исключением вопросов, относящихся к сфере осуществления регионального государственного жилищного надзора, а также регионального государственного надзора в области технического состояния и эксплуатации самоходных машин и других видов техники, аттракционов.</w:t>
      </w:r>
      <w:r/>
    </w:p>
    <w:p>
      <w:pPr>
        <w:ind w:firstLine="567"/>
        <w:jc w:val="both"/>
        <w:rPr>
          <w:color w:val="000000"/>
          <w:sz w:val="27"/>
          <w:szCs w:val="28"/>
        </w:rPr>
      </w:pPr>
      <w:r>
        <w:rPr>
          <w:color w:val="000000" w:themeColor="text1"/>
          <w:sz w:val="27"/>
        </w:rPr>
        <w:t xml:space="preserve">В соответствии с </w:t>
      </w:r>
      <w:r>
        <w:rPr>
          <w:sz w:val="27"/>
          <w:szCs w:val="28"/>
        </w:rPr>
        <w:t xml:space="preserve">постановлением Правительства Пензенской област</w:t>
      </w:r>
      <w:r>
        <w:rPr>
          <w:sz w:val="27"/>
          <w:szCs w:val="28"/>
          <w:highlight w:val="white"/>
        </w:rPr>
        <w:t xml:space="preserve">и от 20.01.2022 г. № 29-пП «Об</w:t>
      </w:r>
      <w:r>
        <w:rPr>
          <w:sz w:val="27"/>
          <w:szCs w:val="28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color w:val="000000" w:themeColor="text1"/>
          <w:sz w:val="27"/>
        </w:rPr>
        <w:t xml:space="preserve">Минград</w:t>
      </w:r>
      <w:r>
        <w:rPr>
          <w:color w:val="000000" w:themeColor="text1"/>
          <w:sz w:val="27"/>
        </w:rPr>
        <w:t xml:space="preserve"> Пензенской области является  исполнительным органом государственной власти Пензенской области, уполномоченным осуществлять региональный государственный строительный надзор.</w:t>
      </w:r>
      <w:r/>
    </w:p>
    <w:p>
      <w:pPr>
        <w:ind w:firstLine="567"/>
        <w:jc w:val="both"/>
        <w:rPr>
          <w:color w:val="000000"/>
          <w:sz w:val="27"/>
          <w:szCs w:val="4"/>
        </w:rPr>
      </w:pPr>
      <w:r>
        <w:rPr>
          <w:color w:val="000000" w:themeColor="text1"/>
          <w:sz w:val="27"/>
        </w:rPr>
        <w:t xml:space="preserve">Минград</w:t>
      </w:r>
      <w:r>
        <w:rPr>
          <w:color w:val="000000" w:themeColor="text1"/>
          <w:sz w:val="27"/>
        </w:rPr>
        <w:t xml:space="preserve"> Пензенской области является правопреемником по правам и обязанностям Минстроя по вопросам осуществления регионального государственного строительного надзора.</w:t>
      </w:r>
      <w:r/>
    </w:p>
    <w:p>
      <w:pPr>
        <w:ind w:firstLine="567"/>
        <w:jc w:val="both"/>
        <w:rPr>
          <w:color w:val="000000"/>
          <w:sz w:val="27"/>
          <w:szCs w:val="27"/>
          <w:highlight w:val="white"/>
        </w:rPr>
      </w:pPr>
      <w:r>
        <w:rPr>
          <w:color w:val="000000"/>
          <w:sz w:val="27"/>
          <w:szCs w:val="4"/>
          <w:highlight w:val="white"/>
        </w:rPr>
      </w:r>
      <w:r>
        <w:rPr>
          <w:color w:val="000000"/>
          <w:sz w:val="27"/>
          <w:szCs w:val="4"/>
          <w:highlight w:val="white"/>
        </w:rPr>
      </w:r>
      <w:r/>
    </w:p>
    <w:p>
      <w:pPr>
        <w:ind w:firstLine="567"/>
        <w:jc w:val="both"/>
        <w:rPr>
          <w:color w:val="000000"/>
          <w:sz w:val="27"/>
          <w:szCs w:val="27"/>
          <w:highlight w:val="white"/>
        </w:rPr>
      </w:pPr>
      <w:r>
        <w:rPr>
          <w:color w:val="000000"/>
          <w:sz w:val="27"/>
          <w:szCs w:val="4"/>
          <w:highlight w:val="white"/>
        </w:rPr>
      </w:r>
      <w:r/>
    </w:p>
    <w:p>
      <w:pPr>
        <w:ind w:firstLine="567"/>
        <w:jc w:val="center"/>
        <w:rPr>
          <w:b/>
          <w:sz w:val="27"/>
        </w:rPr>
      </w:pPr>
      <w:r>
        <w:rPr>
          <w:b/>
          <w:sz w:val="27"/>
        </w:rPr>
        <w:t xml:space="preserve">Раздел II. Правоприменительная практика организации и проведения регионального государственного строительного надзора</w:t>
      </w:r>
      <w:r/>
    </w:p>
    <w:p>
      <w:pPr>
        <w:ind w:firstLine="567"/>
        <w:jc w:val="center"/>
        <w:rPr>
          <w:b/>
          <w:sz w:val="27"/>
        </w:rPr>
      </w:pPr>
      <w:r>
        <w:rPr>
          <w:b/>
          <w:sz w:val="27"/>
        </w:rPr>
      </w:r>
      <w:r/>
    </w:p>
    <w:p>
      <w:pPr>
        <w:ind w:firstLine="567"/>
        <w:jc w:val="both"/>
        <w:rPr>
          <w:sz w:val="27"/>
        </w:rPr>
      </w:pPr>
      <w:r>
        <w:rPr>
          <w:sz w:val="27"/>
        </w:rPr>
        <w:t xml:space="preserve">С 1 июля 2021 года вступил в силу Федеральный закон № 248-ФЗ, </w:t>
      </w:r>
      <w:r>
        <w:rPr>
          <w:sz w:val="27"/>
        </w:rPr>
        <w:t xml:space="preserve">согласно пункта</w:t>
      </w:r>
      <w:r>
        <w:rPr>
          <w:sz w:val="27"/>
        </w:rPr>
        <w:t xml:space="preserve"> 3 части 2 статьи 3 которог</w:t>
      </w:r>
      <w:r>
        <w:rPr>
          <w:sz w:val="27"/>
        </w:rPr>
        <w:t xml:space="preserve">о, порядок организации и осуществления государственного контроля (надзора) устанавливается положением о виде регионального государственного контроля (надзора), утверждаемым высшим исполнительным органом государственной власти субъекта Российской Федерации.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</w:rPr>
        <w:t xml:space="preserve">Часть 4 ста</w:t>
      </w:r>
      <w:r>
        <w:rPr>
          <w:rFonts w:ascii="Times New Roman" w:hAnsi="Times New Roman" w:cs="Times New Roman"/>
          <w:sz w:val="27"/>
          <w:szCs w:val="27"/>
        </w:rPr>
        <w:t xml:space="preserve">тьи 98 Федерального закона № 248-ФЗ предусматривает, что Положения о видах регионального государственного контроля (надзора) подлежат утверждению до 1 января 2022 года. </w:t>
      </w:r>
      <w:r/>
    </w:p>
    <w:p>
      <w:pPr>
        <w:ind w:firstLine="567"/>
        <w:jc w:val="both"/>
        <w:rPr>
          <w:sz w:val="27"/>
          <w:szCs w:val="4"/>
        </w:rPr>
      </w:pPr>
      <w:r>
        <w:rPr>
          <w:sz w:val="27"/>
          <w:highlight w:val="white"/>
        </w:rPr>
        <w:t xml:space="preserve">С 23 декабря 2021 вступило в силу постановлени</w:t>
      </w:r>
      <w:r>
        <w:rPr>
          <w:sz w:val="27"/>
        </w:rPr>
        <w:t xml:space="preserve">е Правительства Пензенской области от 23.12.2021 № 901-пП «Об утверждении Положения о региональном государственном строительном надзоре на территории Пензенской области».</w:t>
      </w:r>
      <w:r/>
    </w:p>
    <w:p>
      <w:pPr>
        <w:ind w:firstLine="567"/>
        <w:jc w:val="both"/>
        <w:rPr>
          <w:sz w:val="27"/>
          <w:szCs w:val="27"/>
          <w:highlight w:val="none"/>
        </w:rPr>
      </w:pPr>
      <w:r>
        <w:rPr>
          <w:sz w:val="27"/>
        </w:rPr>
        <w:t xml:space="preserve">П</w:t>
      </w:r>
      <w:r>
        <w:rPr>
          <w:sz w:val="27"/>
        </w:rPr>
        <w:t xml:space="preserve">ри осуществлении регионального государственного строительного надзора на территории Пензенской области, </w:t>
      </w:r>
      <w:r>
        <w:rPr>
          <w:rFonts w:ascii="Times New Roman" w:hAnsi="Times New Roman" w:cs="Times New Roman"/>
          <w:sz w:val="27"/>
          <w:szCs w:val="27"/>
        </w:rPr>
        <w:t xml:space="preserve">контрольный (надзорный) орган применяет нормы следующих нормативно-правовых </w:t>
      </w:r>
      <w:r>
        <w:rPr>
          <w:rFonts w:ascii="Times New Roman" w:hAnsi="Times New Roman" w:cs="Times New Roman"/>
          <w:sz w:val="27"/>
          <w:szCs w:val="27"/>
        </w:rPr>
        <w:t xml:space="preserve">актов:</w:t>
      </w:r>
      <w:r>
        <w:rPr>
          <w:sz w:val="27"/>
        </w:rPr>
      </w:r>
      <w:r/>
    </w:p>
    <w:p>
      <w:pPr>
        <w:ind w:firstLine="567"/>
        <w:jc w:val="both"/>
      </w:pPr>
      <w:r>
        <w:rPr>
          <w:sz w:val="27"/>
        </w:rPr>
        <w:t xml:space="preserve">Градостроительным кодексом Российской Федерации (далее – </w:t>
      </w:r>
      <w:r>
        <w:rPr>
          <w:sz w:val="27"/>
        </w:rPr>
        <w:t xml:space="preserve">ГрК</w:t>
      </w:r>
      <w:r>
        <w:rPr>
          <w:sz w:val="27"/>
        </w:rPr>
        <w:t xml:space="preserve"> РФ); </w:t>
      </w:r>
      <w:r>
        <w:rPr>
          <w:sz w:val="27"/>
        </w:rPr>
      </w:r>
      <w:r/>
    </w:p>
    <w:p>
      <w:pPr>
        <w:ind w:firstLine="567"/>
        <w:jc w:val="both"/>
      </w:pPr>
      <w:r>
        <w:rPr>
          <w:sz w:val="27"/>
        </w:rPr>
        <w:t xml:space="preserve">Кодексом Российской Федерации об административных правонарушениях (далее – КоАП РФ);</w:t>
      </w:r>
      <w:r>
        <w:rPr>
          <w:sz w:val="27"/>
        </w:rPr>
      </w:r>
      <w:r/>
    </w:p>
    <w:p>
      <w:pPr>
        <w:ind w:firstLine="567"/>
        <w:jc w:val="both"/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  <w:t xml:space="preserve">Федеральным законом</w:t>
      </w:r>
      <w:r>
        <w:rPr>
          <w:sz w:val="27"/>
          <w:szCs w:val="27"/>
          <w:highlight w:val="white"/>
        </w:rPr>
        <w:t xml:space="preserve"> от 31.07.2020 № 248-ФЗ (ред. от 05.12.2022) «О государственном контроле (надзоре) и муниципальном контроле в Российской Федерации</w:t>
      </w:r>
      <w:r>
        <w:rPr>
          <w:sz w:val="27"/>
          <w:szCs w:val="27"/>
          <w:highlight w:val="none"/>
        </w:rPr>
        <w:t xml:space="preserve">»</w:t>
      </w:r>
      <w:r>
        <w:rPr>
          <w:highlight w:val="white"/>
        </w:rPr>
      </w:r>
      <w:r/>
    </w:p>
    <w:p>
      <w:pPr>
        <w:ind w:firstLine="567"/>
        <w:jc w:val="both"/>
      </w:pPr>
      <w:r>
        <w:rPr>
          <w:sz w:val="27"/>
          <w:highlight w:val="white"/>
        </w:rPr>
        <w:t xml:space="preserve">Федеральным законом от 2 мая 2006 года № 59-ФЗ «О порядке рассмотрения обращений граждан Российской Федерации»;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highlight w:val="white"/>
        </w:rPr>
        <w:t xml:space="preserve">Федеральным законом от 31 июля 2020 года № 247-ФЗ «Об обязательных требованиях в Российской Федерации» (далее – Федеральный закон № 247-ФЗ);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highlight w:val="white"/>
        </w:rPr>
        <w:t xml:space="preserve">Федеральным законом от 24 июля 2007 года № 209-ФЗ «О развитии малого и среднего предпринимательства в Российской Федерации»;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highlight w:val="white"/>
        </w:rPr>
        <w:t xml:space="preserve">постановлением Правительства Российской Федерации от 6 марта 2021 года № 338 «О межведомственном информационном взаимодействии в 3 рамках осуществления государственного контроля (надзора), муниципального контроля»;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  <w:rPr>
          <w:szCs w:val="27"/>
          <w:highlight w:val="white"/>
        </w:rPr>
      </w:pPr>
      <w:r>
        <w:rPr>
          <w:sz w:val="27"/>
          <w:highlight w:val="white"/>
        </w:rPr>
        <w:t xml:space="preserve">распоряжением Правительства Российской Федерации от 19 апреля 2016 года № 724-р об утверждении перечня документов и (или) информации, запрашиваемых и получаемых в рамках межведомственного информационного взаимоде</w:t>
      </w:r>
      <w:r>
        <w:rPr>
          <w:sz w:val="27"/>
          <w:highlight w:val="white"/>
        </w:rPr>
        <w:t xml:space="preserve">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</w:t>
      </w:r>
      <w:r>
        <w:rPr>
          <w:sz w:val="27"/>
          <w:highlight w:val="white"/>
        </w:rPr>
        <w:t xml:space="preserve">самоуправления организаций, в распоряжении которых находятся эти документы и</w:t>
      </w:r>
      <w:r>
        <w:rPr>
          <w:sz w:val="27"/>
          <w:highlight w:val="white"/>
        </w:rPr>
        <w:t xml:space="preserve"> (или) информация;</w:t>
      </w:r>
      <w:r>
        <w:rPr>
          <w:sz w:val="27"/>
          <w:szCs w:val="4"/>
          <w:highlight w:val="white"/>
        </w:rPr>
      </w:r>
      <w:r/>
    </w:p>
    <w:p>
      <w:pPr>
        <w:ind w:firstLine="567"/>
        <w:jc w:val="both"/>
        <w:rPr>
          <w:sz w:val="27"/>
          <w:szCs w:val="4"/>
        </w:rPr>
      </w:pPr>
      <w:r>
        <w:rPr>
          <w:sz w:val="27"/>
        </w:rPr>
        <w:t xml:space="preserve">приказа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органом»;</w:t>
      </w:r>
      <w:r/>
    </w:p>
    <w:p>
      <w:pPr>
        <w:ind w:firstLine="567"/>
        <w:jc w:val="both"/>
      </w:pPr>
      <w:r>
        <w:rPr>
          <w:sz w:val="27"/>
        </w:rPr>
        <w:t xml:space="preserve">С 11 декабря 2021 года вступило в силу постановление Правительства Российской Федерации от 1 декабря 2021 года № 2161 «Об утверждении общих требований к орг</w:t>
      </w:r>
      <w:r>
        <w:rPr>
          <w:sz w:val="27"/>
        </w:rPr>
        <w:t xml:space="preserve">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№ 1087 и признании утратившими силу некоторых актов Правительства Российской Федерации».</w:t>
      </w:r>
      <w:r>
        <w:rPr>
          <w:sz w:val="27"/>
          <w:szCs w:val="4"/>
        </w:rPr>
      </w:r>
      <w:r/>
    </w:p>
    <w:p>
      <w:pPr>
        <w:ind w:firstLine="567"/>
        <w:jc w:val="both"/>
        <w:rPr>
          <w:color w:val="000000"/>
          <w:highlight w:val="none"/>
        </w:rPr>
      </w:pPr>
      <w:r>
        <w:rPr>
          <w:sz w:val="27"/>
        </w:rPr>
        <w:t xml:space="preserve">Согласно вышеуказанному постановлению р</w:t>
      </w:r>
      <w:r>
        <w:rPr>
          <w:sz w:val="27"/>
        </w:rPr>
        <w:t xml:space="preserve">егиональный государственный стро</w:t>
      </w:r>
      <w:r>
        <w:rPr>
          <w:color w:val="000000" w:themeColor="text1"/>
          <w:sz w:val="27"/>
        </w:rPr>
        <w:t xml:space="preserve">ительный надзор осуществляется без проведения плановых контрольных (надзорных) мероприятий.</w:t>
      </w:r>
      <w:r>
        <w:rPr>
          <w:color w:val="000000" w:themeColor="text1"/>
        </w:rPr>
      </w:r>
      <w:r/>
    </w:p>
    <w:p>
      <w:pPr>
        <w:ind w:firstLine="567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В 2022 году  </w:t>
      </w:r>
      <w:r>
        <w:rPr>
          <w:sz w:val="27"/>
        </w:rPr>
        <w:t xml:space="preserve">региональный государственный строительный надзор на территории Пензенской области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 проводился с учетом особенностей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, установленных постановлением Правительства РФ № 336 «Об особенностях организации и осуществления государственного контроля (надзора), муниципального контроля».</w:t>
      </w:r>
      <w:r/>
    </w:p>
    <w:p>
      <w:pPr>
        <w:ind w:firstLine="567"/>
        <w:jc w:val="both"/>
        <w:spacing w:after="0" w:line="240" w:lineRule="auto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  <w:t xml:space="preserve">Допускается проведение запланированных на 2022 год плановых контрольных (надзорных) мероприятий:</w:t>
      </w:r>
      <w:r>
        <w:rPr>
          <w:sz w:val="27"/>
          <w:szCs w:val="27"/>
          <w:highlight w:val="none"/>
        </w:rPr>
      </w:r>
      <w:r/>
    </w:p>
    <w:p>
      <w:pPr>
        <w:ind w:firstLine="567"/>
        <w:jc w:val="both"/>
        <w:spacing w:after="0" w:line="240" w:lineRule="auto"/>
        <w:rPr>
          <w:sz w:val="27"/>
          <w:szCs w:val="27"/>
        </w:rPr>
      </w:pPr>
      <w:r>
        <w:rPr>
          <w:sz w:val="27"/>
          <w:szCs w:val="27"/>
          <w:highlight w:val="none"/>
        </w:rPr>
        <w:t xml:space="preserve">- п</w:t>
      </w:r>
      <w:r>
        <w:rPr>
          <w:sz w:val="27"/>
          <w:szCs w:val="27"/>
          <w:highlight w:val="none"/>
        </w:rPr>
        <w:t xml:space="preserve">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</w:t>
      </w:r>
      <w:r>
        <w:rPr>
          <w:sz w:val="27"/>
          <w:szCs w:val="27"/>
          <w:highlight w:val="none"/>
        </w:rPr>
        <w:t xml:space="preserve">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  <w:r>
        <w:rPr>
          <w:sz w:val="27"/>
          <w:szCs w:val="27"/>
        </w:rPr>
      </w:r>
      <w:r/>
    </w:p>
    <w:p>
      <w:pPr>
        <w:ind w:firstLine="567"/>
        <w:jc w:val="both"/>
        <w:spacing w:after="0" w:line="240" w:lineRule="auto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- п</w:t>
      </w:r>
      <w:r>
        <w:rPr>
          <w:sz w:val="27"/>
          <w:szCs w:val="27"/>
          <w:highlight w:val="none"/>
        </w:rPr>
        <w:t xml:space="preserve">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</w:t>
      </w:r>
      <w:r>
        <w:rPr>
          <w:sz w:val="27"/>
          <w:szCs w:val="27"/>
          <w:highlight w:val="none"/>
        </w:rPr>
        <w:t xml:space="preserve">имеющего разрешительный характер.</w:t>
      </w:r>
      <w:r>
        <w:rPr>
          <w:sz w:val="27"/>
          <w:szCs w:val="27"/>
          <w:highlight w:val="none"/>
        </w:rPr>
      </w:r>
      <w:r/>
    </w:p>
    <w:p>
      <w:pPr>
        <w:contextualSpacing/>
        <w:ind w:firstLine="567"/>
        <w:jc w:val="both"/>
        <w:rPr>
          <w:color w:val="000000"/>
        </w:rPr>
      </w:pPr>
      <w:r>
        <w:rPr>
          <w:color w:val="000000" w:themeColor="text1"/>
          <w:sz w:val="27"/>
          <w:szCs w:val="28"/>
        </w:rPr>
        <w:t xml:space="preserve">За истекший период 202</w:t>
      </w:r>
      <w:r>
        <w:rPr>
          <w:color w:val="000000" w:themeColor="text1"/>
          <w:sz w:val="27"/>
          <w:szCs w:val="28"/>
        </w:rPr>
        <w:t xml:space="preserve">2</w:t>
      </w:r>
      <w:r>
        <w:rPr>
          <w:color w:val="000000" w:themeColor="text1"/>
          <w:sz w:val="27"/>
          <w:szCs w:val="28"/>
        </w:rPr>
        <w:t xml:space="preserve"> года </w:t>
      </w:r>
      <w:r>
        <w:rPr>
          <w:color w:val="000000" w:themeColor="text1"/>
          <w:sz w:val="27"/>
        </w:rPr>
        <w:t xml:space="preserve">контрольным (надзорным) орган</w:t>
      </w:r>
      <w:r>
        <w:rPr>
          <w:color w:val="000000" w:themeColor="text1"/>
          <w:sz w:val="27"/>
          <w:szCs w:val="28"/>
        </w:rPr>
        <w:t xml:space="preserve">ом осуществлялся региональный государственный строительный надзор при строительстве </w:t>
      </w:r>
      <w:r>
        <w:rPr>
          <w:color w:val="000000" w:themeColor="text1"/>
          <w:sz w:val="28"/>
          <w:szCs w:val="28"/>
        </w:rPr>
        <w:t xml:space="preserve">343</w:t>
      </w:r>
      <w:r>
        <w:rPr>
          <w:color w:val="000000" w:themeColor="text1"/>
          <w:sz w:val="27"/>
          <w:szCs w:val="28"/>
        </w:rPr>
        <w:t xml:space="preserve"> объектов капитального строительства (аналогичный период прошлого года (далее – АППГ) - </w:t>
      </w:r>
      <w:r>
        <w:rPr>
          <w:color w:val="000000" w:themeColor="text1"/>
          <w:sz w:val="27"/>
          <w:szCs w:val="28"/>
        </w:rPr>
        <w:t xml:space="preserve">295</w:t>
      </w:r>
      <w:r>
        <w:rPr>
          <w:color w:val="000000" w:themeColor="text1"/>
          <w:sz w:val="27"/>
          <w:szCs w:val="28"/>
        </w:rPr>
        <w:t xml:space="preserve">), из них:</w:t>
      </w:r>
      <w:r>
        <w:rPr>
          <w:color w:val="000000" w:themeColor="text1"/>
        </w:rPr>
      </w:r>
      <w:r/>
    </w:p>
    <w:p>
      <w:pPr>
        <w:contextualSpacing/>
        <w:ind w:firstLine="709"/>
        <w:jc w:val="both"/>
        <w:rPr>
          <w:color w:val="000000"/>
        </w:rPr>
      </w:pPr>
      <w:r>
        <w:rPr>
          <w:color w:val="000000" w:themeColor="text1"/>
          <w:sz w:val="27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150</w:t>
      </w:r>
      <w:r>
        <w:rPr>
          <w:color w:val="000000" w:themeColor="text1"/>
          <w:sz w:val="27"/>
          <w:szCs w:val="28"/>
        </w:rPr>
        <w:t xml:space="preserve"> многоквартирных жилых домов, из которых 2 дома для переселения граждан из аварийного жилья (АППГ - </w:t>
      </w:r>
      <w:r>
        <w:rPr>
          <w:color w:val="000000" w:themeColor="text1"/>
          <w:sz w:val="27"/>
          <w:szCs w:val="28"/>
        </w:rPr>
        <w:t xml:space="preserve">117</w:t>
      </w:r>
      <w:r>
        <w:rPr>
          <w:color w:val="000000" w:themeColor="text1"/>
          <w:sz w:val="27"/>
          <w:szCs w:val="28"/>
        </w:rPr>
        <w:t xml:space="preserve">);</w:t>
      </w:r>
      <w:r>
        <w:rPr>
          <w:color w:val="000000" w:themeColor="text1"/>
        </w:rPr>
      </w:r>
      <w:r/>
    </w:p>
    <w:p>
      <w:pPr>
        <w:contextualSpacing/>
        <w:ind w:firstLine="709"/>
        <w:jc w:val="both"/>
        <w:rPr>
          <w:color w:val="000000"/>
        </w:rPr>
      </w:pPr>
      <w:r>
        <w:rPr>
          <w:color w:val="000000" w:themeColor="text1"/>
          <w:sz w:val="27"/>
          <w:szCs w:val="28"/>
        </w:rPr>
        <w:t xml:space="preserve">- </w:t>
      </w:r>
      <w:r>
        <w:rPr>
          <w:color w:val="000000" w:themeColor="text1"/>
          <w:sz w:val="27"/>
          <w:szCs w:val="28"/>
        </w:rPr>
        <w:t xml:space="preserve">14</w:t>
      </w:r>
      <w:r>
        <w:rPr>
          <w:color w:val="000000" w:themeColor="text1"/>
          <w:sz w:val="27"/>
          <w:szCs w:val="28"/>
        </w:rPr>
        <w:t xml:space="preserve"> объектов бюджетного строительства (АППГ - </w:t>
      </w:r>
      <w:r>
        <w:rPr>
          <w:color w:val="000000" w:themeColor="text1"/>
          <w:sz w:val="27"/>
          <w:szCs w:val="28"/>
        </w:rPr>
        <w:t xml:space="preserve">26</w:t>
      </w:r>
      <w:r>
        <w:rPr>
          <w:color w:val="000000" w:themeColor="text1"/>
          <w:sz w:val="27"/>
          <w:szCs w:val="28"/>
        </w:rPr>
        <w:t xml:space="preserve"> </w:t>
      </w:r>
      <w:r>
        <w:rPr>
          <w:color w:val="000000" w:themeColor="text1"/>
          <w:sz w:val="27"/>
          <w:szCs w:val="28"/>
        </w:rPr>
        <w:t xml:space="preserve">)</w:t>
      </w:r>
      <w:r>
        <w:rPr>
          <w:color w:val="000000" w:themeColor="text1"/>
          <w:sz w:val="27"/>
          <w:szCs w:val="28"/>
        </w:rPr>
        <w:t xml:space="preserve">;</w:t>
      </w:r>
      <w:r>
        <w:rPr>
          <w:color w:val="000000" w:themeColor="text1"/>
        </w:rPr>
      </w:r>
      <w:r/>
    </w:p>
    <w:p>
      <w:pPr>
        <w:contextualSpacing/>
        <w:ind w:firstLine="709"/>
        <w:jc w:val="both"/>
        <w:rPr>
          <w:color w:val="000000"/>
        </w:rPr>
      </w:pPr>
      <w:r>
        <w:rPr>
          <w:color w:val="000000" w:themeColor="text1"/>
          <w:sz w:val="27"/>
          <w:szCs w:val="28"/>
        </w:rPr>
        <w:t xml:space="preserve">- </w:t>
      </w:r>
      <w:r>
        <w:rPr>
          <w:color w:val="000000" w:themeColor="text1"/>
          <w:sz w:val="27"/>
          <w:szCs w:val="28"/>
        </w:rPr>
        <w:t xml:space="preserve">8</w:t>
      </w:r>
      <w:r>
        <w:rPr>
          <w:color w:val="000000" w:themeColor="text1"/>
          <w:sz w:val="27"/>
          <w:szCs w:val="28"/>
        </w:rPr>
        <w:t xml:space="preserve"> автомобильных дорог (АППГ -</w:t>
      </w:r>
      <w:r>
        <w:rPr>
          <w:color w:val="000000" w:themeColor="text1"/>
          <w:sz w:val="27"/>
          <w:szCs w:val="28"/>
        </w:rPr>
        <w:t xml:space="preserve"> </w:t>
      </w:r>
      <w:r>
        <w:rPr>
          <w:color w:val="000000" w:themeColor="text1"/>
          <w:sz w:val="27"/>
          <w:szCs w:val="28"/>
        </w:rPr>
        <w:t xml:space="preserve">9</w:t>
      </w:r>
      <w:r>
        <w:rPr>
          <w:color w:val="000000" w:themeColor="text1"/>
          <w:sz w:val="27"/>
          <w:szCs w:val="28"/>
        </w:rPr>
        <w:t xml:space="preserve">);</w:t>
      </w:r>
      <w:r>
        <w:rPr>
          <w:color w:val="000000" w:themeColor="text1"/>
        </w:rPr>
      </w:r>
      <w:r/>
    </w:p>
    <w:p>
      <w:pPr>
        <w:contextualSpacing/>
        <w:ind w:firstLine="709"/>
        <w:jc w:val="both"/>
        <w:rPr>
          <w:color w:val="000000"/>
        </w:rPr>
      </w:pPr>
      <w:r>
        <w:rPr>
          <w:color w:val="000000" w:themeColor="text1"/>
          <w:sz w:val="27"/>
          <w:szCs w:val="28"/>
        </w:rPr>
        <w:t xml:space="preserve">- </w:t>
      </w:r>
      <w:r>
        <w:rPr>
          <w:color w:val="000000" w:themeColor="text1"/>
          <w:sz w:val="27"/>
          <w:szCs w:val="28"/>
        </w:rPr>
        <w:t xml:space="preserve">171</w:t>
      </w:r>
      <w:r>
        <w:rPr>
          <w:color w:val="000000" w:themeColor="text1"/>
          <w:sz w:val="27"/>
          <w:szCs w:val="28"/>
        </w:rPr>
        <w:t xml:space="preserve"> объекта производственного и непроизводственного назначения (АППГ - </w:t>
      </w:r>
      <w:r>
        <w:rPr>
          <w:color w:val="000000" w:themeColor="text1"/>
          <w:sz w:val="27"/>
          <w:szCs w:val="28"/>
        </w:rPr>
        <w:t xml:space="preserve">143</w:t>
      </w:r>
      <w:r>
        <w:rPr>
          <w:color w:val="000000" w:themeColor="text1"/>
          <w:sz w:val="27"/>
          <w:szCs w:val="28"/>
        </w:rPr>
        <w:t xml:space="preserve">). </w:t>
      </w:r>
      <w:r>
        <w:rPr>
          <w:color w:val="000000" w:themeColor="text1"/>
        </w:rPr>
      </w:r>
      <w:r/>
    </w:p>
    <w:p>
      <w:pPr>
        <w:contextualSpacing/>
        <w:ind w:firstLine="709"/>
        <w:jc w:val="both"/>
        <w:rPr>
          <w:color w:val="000000"/>
        </w:rPr>
      </w:pPr>
      <w:r>
        <w:rPr>
          <w:color w:val="000000" w:themeColor="text1"/>
          <w:sz w:val="27"/>
          <w:szCs w:val="28"/>
        </w:rPr>
        <w:t xml:space="preserve">На каждого инспектора регионального государственного строительного надзора приходится в среднем по 49 объектов капитального строительства, расположенных как в г. Пензе, так и в области.</w:t>
      </w:r>
      <w:r>
        <w:rPr>
          <w:color w:val="000000" w:themeColor="text1"/>
        </w:rPr>
      </w:r>
      <w:r/>
    </w:p>
    <w:p>
      <w:pPr>
        <w:contextualSpacing/>
        <w:ind w:firstLine="709"/>
        <w:jc w:val="both"/>
      </w:pPr>
      <w:r>
        <w:rPr>
          <w:color w:val="000000" w:themeColor="text1"/>
          <w:sz w:val="27"/>
          <w:szCs w:val="28"/>
        </w:rPr>
        <w:t xml:space="preserve">По состоянию на 30.12.202</w:t>
      </w:r>
      <w:r>
        <w:rPr>
          <w:color w:val="000000" w:themeColor="text1"/>
          <w:sz w:val="27"/>
          <w:szCs w:val="28"/>
        </w:rPr>
        <w:t xml:space="preserve">2</w:t>
      </w:r>
      <w:r>
        <w:rPr>
          <w:color w:val="000000" w:themeColor="text1"/>
          <w:sz w:val="27"/>
          <w:szCs w:val="28"/>
        </w:rPr>
        <w:t xml:space="preserve"> года </w:t>
      </w:r>
      <w:r>
        <w:rPr>
          <w:color w:val="000000" w:themeColor="text1"/>
          <w:sz w:val="27"/>
        </w:rPr>
        <w:t xml:space="preserve">контрольным (надзорным) органом</w:t>
      </w:r>
      <w:r>
        <w:rPr>
          <w:color w:val="000000" w:themeColor="text1"/>
          <w:sz w:val="27"/>
          <w:szCs w:val="28"/>
        </w:rPr>
        <w:t xml:space="preserve"> на основании программ проведения проверок, а также поступивших извещений о начале строительства было проведено </w:t>
      </w:r>
      <w:r>
        <w:rPr>
          <w:color w:val="000000" w:themeColor="text1"/>
          <w:sz w:val="27"/>
          <w:szCs w:val="28"/>
        </w:rPr>
        <w:t xml:space="preserve">529 </w:t>
      </w:r>
      <w:r>
        <w:rPr>
          <w:color w:val="000000" w:themeColor="text1"/>
          <w:sz w:val="27"/>
          <w:szCs w:val="28"/>
        </w:rPr>
        <w:t xml:space="preserve">проверок (АППГ-</w:t>
      </w:r>
      <w:r>
        <w:rPr>
          <w:color w:val="000000" w:themeColor="text1"/>
          <w:sz w:val="27"/>
          <w:szCs w:val="28"/>
        </w:rPr>
        <w:t xml:space="preserve"> 426</w:t>
      </w:r>
      <w:r>
        <w:rPr>
          <w:color w:val="000000" w:themeColor="text1"/>
          <w:sz w:val="27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44 профилактических визита</w:t>
      </w:r>
      <w:r>
        <w:rPr>
          <w:sz w:val="27"/>
          <w:szCs w:val="28"/>
        </w:rPr>
        <w:t xml:space="preserve">.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По результатам проведенных проверок за истекший 2022 го</w:t>
      </w:r>
      <w:r>
        <w:rPr>
          <w:sz w:val="27"/>
          <w:szCs w:val="28"/>
        </w:rPr>
        <w:t xml:space="preserve">д выявлено 37 фактов нарушения требований проектной документации, а также нарушений установленного порядка строительства, а именно: строительство, реконструкция объектов капитального строительства без разрешения на строительство предусмотренного ст. 51 Гра</w:t>
      </w:r>
      <w:r>
        <w:rPr>
          <w:sz w:val="27"/>
          <w:szCs w:val="28"/>
        </w:rPr>
        <w:t xml:space="preserve">достроительного кодекса РФ и не</w:t>
      </w:r>
      <w:r>
        <w:rPr>
          <w:sz w:val="27"/>
          <w:szCs w:val="28"/>
        </w:rPr>
        <w:t xml:space="preserve">своевременное направление извещения о начале строительства, предусмотренного ч. 5 ст. 52 Градостр</w:t>
      </w:r>
      <w:r>
        <w:rPr>
          <w:sz w:val="27"/>
          <w:szCs w:val="28"/>
        </w:rPr>
        <w:t xml:space="preserve">оительного кодекса РФ (АППГ - 77</w:t>
      </w:r>
      <w:r>
        <w:rPr>
          <w:sz w:val="27"/>
          <w:szCs w:val="28"/>
        </w:rPr>
        <w:t xml:space="preserve">)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По результатам рассмотрения дел об административном правонарушении наложено штрафов на сумму 1,098 тыс. руб.,</w:t>
      </w:r>
      <w:r>
        <w:t xml:space="preserve"> </w:t>
      </w:r>
      <w:r>
        <w:rPr>
          <w:sz w:val="27"/>
          <w:szCs w:val="28"/>
        </w:rPr>
        <w:t xml:space="preserve">(А</w:t>
      </w:r>
      <w:r>
        <w:rPr>
          <w:sz w:val="27"/>
          <w:szCs w:val="28"/>
        </w:rPr>
        <w:t xml:space="preserve">ППГ - </w:t>
      </w:r>
      <w:r>
        <w:rPr>
          <w:sz w:val="27"/>
          <w:szCs w:val="28"/>
        </w:rPr>
        <w:t xml:space="preserve">1,</w:t>
      </w:r>
      <w:r>
        <w:rPr>
          <w:sz w:val="27"/>
          <w:szCs w:val="28"/>
        </w:rPr>
        <w:t xml:space="preserve">923 </w:t>
      </w:r>
      <w:r>
        <w:rPr>
          <w:sz w:val="27"/>
          <w:szCs w:val="28"/>
        </w:rPr>
        <w:t xml:space="preserve">тыс. руб.) вынесено 17 предупреждений</w:t>
      </w:r>
      <w:r>
        <w:rPr>
          <w:sz w:val="27"/>
          <w:szCs w:val="28"/>
        </w:rPr>
        <w:t xml:space="preserve"> (АППГ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  <w:t xml:space="preserve">-</w:t>
      </w:r>
      <w:r>
        <w:rPr>
          <w:sz w:val="27"/>
          <w:szCs w:val="28"/>
        </w:rPr>
        <w:t xml:space="preserve"> 3)</w:t>
      </w:r>
      <w:r>
        <w:rPr>
          <w:sz w:val="27"/>
          <w:szCs w:val="28"/>
        </w:rPr>
        <w:t xml:space="preserve">, </w:t>
      </w:r>
      <w:r>
        <w:rPr>
          <w:sz w:val="27"/>
          <w:szCs w:val="28"/>
        </w:rPr>
        <w:t xml:space="preserve">направлено 49 </w:t>
      </w:r>
      <w:r>
        <w:rPr>
          <w:sz w:val="27"/>
          <w:szCs w:val="28"/>
        </w:rPr>
        <w:t xml:space="preserve">предостережений о недопустимости нарушения обязательных требований</w:t>
      </w:r>
      <w:r>
        <w:rPr>
          <w:sz w:val="27"/>
          <w:szCs w:val="28"/>
        </w:rPr>
        <w:t xml:space="preserve"> (АППГ </w:t>
      </w:r>
      <w:r>
        <w:rPr>
          <w:sz w:val="27"/>
          <w:szCs w:val="28"/>
        </w:rPr>
        <w:t xml:space="preserve">-</w:t>
      </w:r>
      <w:r>
        <w:rPr>
          <w:sz w:val="27"/>
          <w:szCs w:val="28"/>
        </w:rPr>
        <w:t xml:space="preserve"> 4)</w:t>
      </w:r>
      <w:r>
        <w:rPr>
          <w:sz w:val="27"/>
          <w:szCs w:val="28"/>
        </w:rPr>
        <w:t xml:space="preserve">.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</w:rPr>
        <w:t xml:space="preserve">По результатам проведенных итоговых проверок объектов капитального строительства было выдано 100 заключений о соответствии построенных объектов капитального строительства требованиям проектной документации, из которых</w:t>
      </w:r>
      <w:r>
        <w:rPr>
          <w:sz w:val="27"/>
        </w:rPr>
        <w:t xml:space="preserve">:</w:t>
      </w:r>
      <w:r>
        <w:rPr>
          <w:sz w:val="27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- многоквартирные жилые </w:t>
      </w:r>
      <w:r>
        <w:rPr>
          <w:sz w:val="27"/>
          <w:szCs w:val="28"/>
        </w:rPr>
        <w:t xml:space="preserve">дома</w:t>
      </w:r>
      <w:r>
        <w:rPr>
          <w:sz w:val="27"/>
          <w:szCs w:val="28"/>
        </w:rPr>
        <w:t xml:space="preserve"> – </w:t>
      </w:r>
      <w:r>
        <w:rPr>
          <w:sz w:val="27"/>
          <w:szCs w:val="28"/>
        </w:rPr>
        <w:t xml:space="preserve">42</w:t>
      </w:r>
      <w:r>
        <w:rPr>
          <w:sz w:val="27"/>
          <w:szCs w:val="28"/>
        </w:rPr>
        <w:t xml:space="preserve"> шт. из </w:t>
      </w:r>
      <w:r>
        <w:rPr>
          <w:sz w:val="27"/>
          <w:szCs w:val="28"/>
        </w:rPr>
        <w:t xml:space="preserve">котор</w:t>
      </w:r>
      <w:bookmarkStart w:id="0" w:name="undefined"/>
      <w:r/>
      <w:bookmarkEnd w:id="0"/>
      <w:r>
        <w:rPr>
          <w:sz w:val="27"/>
          <w:szCs w:val="28"/>
        </w:rPr>
        <w:t xml:space="preserve">ых</w:t>
      </w:r>
      <w:r>
        <w:rPr>
          <w:sz w:val="27"/>
          <w:szCs w:val="28"/>
        </w:rPr>
        <w:t xml:space="preserve"> 2 многоквартирных дома</w:t>
      </w:r>
      <w:r>
        <w:rPr>
          <w:sz w:val="27"/>
          <w:szCs w:val="28"/>
        </w:rPr>
        <w:t xml:space="preserve">,</w:t>
      </w:r>
      <w:r>
        <w:rPr>
          <w:sz w:val="27"/>
          <w:szCs w:val="28"/>
        </w:rPr>
        <w:t xml:space="preserve"> предназначенных для переселения граждан из аварийного жилья и детям-сиротам</w:t>
      </w:r>
      <w:r>
        <w:rPr>
          <w:sz w:val="27"/>
          <w:szCs w:val="28"/>
        </w:rPr>
        <w:t xml:space="preserve">;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- </w:t>
      </w:r>
      <w:r>
        <w:rPr>
          <w:sz w:val="27"/>
          <w:szCs w:val="28"/>
        </w:rPr>
        <w:t xml:space="preserve">дома</w:t>
      </w:r>
      <w:r>
        <w:rPr>
          <w:sz w:val="27"/>
          <w:szCs w:val="28"/>
        </w:rPr>
        <w:t xml:space="preserve"> для предоставления гражданам, проживающим и работающим на сельских территориях, по договору найма жилого помещения, в с. </w:t>
      </w:r>
      <w:r>
        <w:rPr>
          <w:sz w:val="27"/>
          <w:szCs w:val="28"/>
        </w:rPr>
        <w:t xml:space="preserve">Кривошеевка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  <w:t xml:space="preserve">Нижнеломовского</w:t>
      </w:r>
      <w:r>
        <w:rPr>
          <w:sz w:val="27"/>
          <w:szCs w:val="28"/>
        </w:rPr>
        <w:t xml:space="preserve"> района Пензенской области</w:t>
      </w:r>
      <w:r>
        <w:rPr>
          <w:sz w:val="27"/>
          <w:szCs w:val="28"/>
        </w:rPr>
        <w:t xml:space="preserve"> – 7 </w:t>
      </w:r>
      <w:r>
        <w:rPr>
          <w:sz w:val="27"/>
          <w:szCs w:val="28"/>
        </w:rPr>
        <w:t xml:space="preserve">шт</w:t>
      </w:r>
      <w:r>
        <w:rPr>
          <w:sz w:val="27"/>
          <w:szCs w:val="28"/>
        </w:rPr>
        <w:t xml:space="preserve">;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- общественные здания (детские сады, школы, медицинские учреждения) – </w:t>
      </w:r>
      <w:r>
        <w:rPr>
          <w:sz w:val="27"/>
          <w:szCs w:val="28"/>
        </w:rPr>
        <w:t xml:space="preserve">8</w:t>
      </w:r>
      <w:r>
        <w:rPr>
          <w:sz w:val="27"/>
          <w:szCs w:val="28"/>
        </w:rPr>
        <w:t xml:space="preserve"> шт.;</w:t>
      </w:r>
      <w:r>
        <w:rPr>
          <w:sz w:val="27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- торгово-офисные и административные здания – </w:t>
      </w:r>
      <w:r>
        <w:rPr>
          <w:sz w:val="27"/>
          <w:szCs w:val="28"/>
        </w:rPr>
        <w:t xml:space="preserve">12</w:t>
      </w:r>
      <w:r>
        <w:rPr>
          <w:sz w:val="27"/>
          <w:szCs w:val="28"/>
        </w:rPr>
        <w:t xml:space="preserve"> шт.;</w:t>
      </w:r>
      <w:r>
        <w:rPr>
          <w:sz w:val="27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- производственные и непроизводственные объекты (нежилые здания) – </w:t>
      </w:r>
      <w:r>
        <w:rPr>
          <w:sz w:val="27"/>
          <w:szCs w:val="28"/>
        </w:rPr>
        <w:t xml:space="preserve">2</w:t>
      </w:r>
      <w:r>
        <w:rPr>
          <w:sz w:val="27"/>
          <w:szCs w:val="28"/>
        </w:rPr>
        <w:t xml:space="preserve">6</w:t>
      </w:r>
      <w:r>
        <w:rPr>
          <w:sz w:val="27"/>
          <w:szCs w:val="28"/>
        </w:rPr>
        <w:t xml:space="preserve"> шт.;</w:t>
      </w:r>
      <w:r>
        <w:rPr>
          <w:sz w:val="27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- линейные объекты (газопроводы, водопроводы, дороги, башни сотовой связи) – </w:t>
      </w:r>
      <w:r>
        <w:rPr>
          <w:sz w:val="27"/>
          <w:szCs w:val="28"/>
        </w:rPr>
        <w:t xml:space="preserve">5</w:t>
      </w:r>
      <w:r>
        <w:rPr>
          <w:sz w:val="27"/>
          <w:szCs w:val="28"/>
        </w:rPr>
        <w:t xml:space="preserve"> шт.,</w:t>
      </w:r>
      <w:r>
        <w:rPr>
          <w:sz w:val="27"/>
        </w:rPr>
        <w:t xml:space="preserve"> </w:t>
      </w:r>
      <w:r>
        <w:rPr>
          <w:sz w:val="27"/>
        </w:rPr>
        <w:t xml:space="preserve">из них </w:t>
      </w:r>
      <w:r>
        <w:rPr>
          <w:sz w:val="27"/>
        </w:rPr>
        <w:t xml:space="preserve">выдано 3 заключения по дорогам </w:t>
      </w:r>
      <w:r>
        <w:rPr>
          <w:sz w:val="27"/>
        </w:rPr>
        <w:t xml:space="preserve">общей прот</w:t>
      </w:r>
      <w:r>
        <w:rPr>
          <w:sz w:val="27"/>
        </w:rPr>
        <w:t xml:space="preserve">яженностью </w:t>
      </w:r>
      <w:r>
        <w:rPr>
          <w:sz w:val="27"/>
        </w:rPr>
        <w:t xml:space="preserve">5,590</w:t>
      </w:r>
      <w:r>
        <w:rPr>
          <w:sz w:val="27"/>
        </w:rPr>
        <w:t xml:space="preserve"> км. </w:t>
      </w:r>
      <w:r>
        <w:rPr>
          <w:sz w:val="27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</w:rPr>
        <w:t xml:space="preserve">Также по результатам </w:t>
      </w:r>
      <w:r>
        <w:rPr>
          <w:sz w:val="27"/>
        </w:rPr>
        <w:t xml:space="preserve">проведенных итоговых проверок объектов капитального строительства</w:t>
      </w:r>
      <w:r>
        <w:rPr>
          <w:sz w:val="27"/>
        </w:rPr>
        <w:t xml:space="preserve"> в 9 случаях отказано в выд</w:t>
      </w:r>
      <w:r>
        <w:rPr>
          <w:sz w:val="27"/>
        </w:rPr>
        <w:t xml:space="preserve">аче</w:t>
      </w:r>
      <w:r>
        <w:rPr>
          <w:sz w:val="27"/>
        </w:rPr>
        <w:t xml:space="preserve"> </w:t>
      </w:r>
      <w:r>
        <w:rPr>
          <w:sz w:val="27"/>
        </w:rPr>
        <w:t xml:space="preserve">заключений о соответствии построенных объектов капитального строительства требованиям проектной документации</w:t>
      </w:r>
      <w:r>
        <w:rPr>
          <w:sz w:val="27"/>
        </w:rPr>
        <w:t xml:space="preserve">.</w:t>
      </w:r>
      <w:r>
        <w:rPr>
          <w:sz w:val="27"/>
        </w:rPr>
      </w:r>
      <w:r/>
    </w:p>
    <w:p>
      <w:pPr>
        <w:contextualSpacing/>
        <w:ind w:firstLine="709"/>
        <w:jc w:val="both"/>
        <w:widowControl w:val="off"/>
      </w:pPr>
      <w:r>
        <w:rPr>
          <w:sz w:val="27"/>
          <w:szCs w:val="28"/>
        </w:rPr>
        <w:t xml:space="preserve">Необходимо отметить тот факт, что проверки объектов капитального строительства проводятся на основании программы проведения проверок, которая разрабатывается и формируется инспектором, закрепленным за объектом, н</w:t>
      </w:r>
      <w:r>
        <w:rPr>
          <w:sz w:val="27"/>
          <w:szCs w:val="28"/>
        </w:rPr>
        <w:t xml:space="preserve">а основании календарного графика производства работ, предусмотренного проектной документацией, согласно которой каждому объекту капитального строительства присваивается категория риска (высокий, значительный, умеренный) с ограниченным количеством проверок.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Так, многоквартирные жилые дома </w:t>
      </w:r>
      <w:r>
        <w:rPr>
          <w:sz w:val="27"/>
          <w:szCs w:val="28"/>
        </w:rPr>
        <w:t xml:space="preserve">согласно правил</w:t>
      </w:r>
      <w:r>
        <w:rPr>
          <w:sz w:val="27"/>
          <w:szCs w:val="28"/>
        </w:rPr>
        <w:t xml:space="preserve">ам относятся к высокой категории риска, и количество проверок за весь период строительства может составлять не более 12. 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Основными видами выявляемых нарушений является некачественное производство строительно-монтажных работ с нарушением требований проектной документации, несоблюдение технологии производства строительн</w:t>
      </w:r>
      <w:r>
        <w:rPr>
          <w:sz w:val="27"/>
          <w:szCs w:val="28"/>
        </w:rPr>
        <w:t xml:space="preserve">ых работ и их последовательности</w:t>
      </w:r>
      <w:r>
        <w:rPr>
          <w:sz w:val="27"/>
          <w:szCs w:val="28"/>
        </w:rPr>
        <w:t xml:space="preserve">, к примеру: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обратная засыпка пазух фундаментов после возведения конструкций выше нуля;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устройство кирпичн</w:t>
      </w:r>
      <w:r>
        <w:rPr>
          <w:sz w:val="27"/>
          <w:szCs w:val="28"/>
        </w:rPr>
        <w:t xml:space="preserve">ой кладки в пределах одной </w:t>
      </w:r>
      <w:r>
        <w:rPr>
          <w:sz w:val="27"/>
          <w:szCs w:val="28"/>
        </w:rPr>
        <w:t xml:space="preserve">блок-</w:t>
      </w:r>
      <w:r>
        <w:rPr>
          <w:sz w:val="27"/>
          <w:szCs w:val="28"/>
        </w:rPr>
        <w:t xml:space="preserve">секции</w:t>
      </w:r>
      <w:r>
        <w:rPr>
          <w:sz w:val="27"/>
          <w:szCs w:val="28"/>
        </w:rPr>
        <w:t xml:space="preserve">,</w:t>
      </w:r>
      <w:r>
        <w:rPr>
          <w:sz w:val="27"/>
          <w:szCs w:val="28"/>
        </w:rPr>
        <w:t xml:space="preserve"> либо объекта в целом на разных уровнях этажей;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возведение конструкций объекта без устройства лестничных маршей в одной высотной отметке здания;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затирка вентиляционных каналов после возведения конструкций;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оштукатуривание рустов плит перекрытий;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</w:t>
      </w:r>
      <w:r>
        <w:rPr>
          <w:sz w:val="27"/>
          <w:szCs w:val="28"/>
        </w:rPr>
        <w:t xml:space="preserve">зачеканивание</w:t>
      </w:r>
      <w:r>
        <w:rPr>
          <w:sz w:val="27"/>
          <w:szCs w:val="28"/>
        </w:rPr>
        <w:t xml:space="preserve"> торцов плит перекрытий;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- отсутствие ухода за бетоном при выполнении монолитных работ,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а также нарушение техники безопасности в строительстве и нарушение требований при оформлении исполнительной документации. 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Кроме того, одним из нарушений является производство работ по не откорректированной в устан</w:t>
      </w:r>
      <w:r>
        <w:rPr>
          <w:sz w:val="27"/>
          <w:szCs w:val="28"/>
        </w:rPr>
        <w:t xml:space="preserve">овленном законом порядке проектной документации, что также приводит к привлечению к административной ответственности лиц, осуществляющих строительство. В случаях выявления таких нарушений строительство объекта должно быть приостановлено до их устранения. </w:t>
      </w:r>
      <w:r>
        <w:rPr>
          <w:color w:val="FF0000"/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Также н</w:t>
      </w:r>
      <w:r>
        <w:rPr>
          <w:sz w:val="27"/>
          <w:szCs w:val="28"/>
        </w:rPr>
        <w:t xml:space="preserve">еобходимо добавить, что критерии нарушений, выявляемых при строительстве, реконструкции объектов капитального строительства подразделяются на нарушения обязательных требований в области строительства и применения строительных материалов, ответственность за</w:t>
      </w:r>
      <w:r>
        <w:rPr>
          <w:sz w:val="27"/>
          <w:szCs w:val="28"/>
        </w:rPr>
        <w:t xml:space="preserve"> которое предусмотрена ст. 9.4 КоАП РФ, о которых было указанно ранее, а также на нарушения установленного порядка строительства, реконструкции, объекта капитального строительства и ввода его в эксплуатацию, ответственность за которое предусмотрена ст. 9.5</w:t>
      </w:r>
      <w:r>
        <w:rPr>
          <w:sz w:val="27"/>
          <w:szCs w:val="28"/>
        </w:rPr>
        <w:t xml:space="preserve"> КоАП РФ (строительство, реконструкция без разрешения на строительство, нарушение сроков направления извещения о начале строительства).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Несвоевременное направление извещения о начале строительства лишает </w:t>
      </w:r>
      <w:r>
        <w:rPr>
          <w:sz w:val="27"/>
        </w:rPr>
        <w:t xml:space="preserve">контрольный (надзорный) орган</w:t>
      </w:r>
      <w:r>
        <w:rPr>
          <w:sz w:val="27"/>
          <w:szCs w:val="28"/>
        </w:rPr>
        <w:t xml:space="preserve"> возможности присутствовать на объекте на начальных этапах строительства, а также при подготовке строительной площадки. 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Вследствие проделанной профилактической работы с застройщиками, по состоянию на текущую дату извещения о начале строительства многоквартирных жилых домов направляются в адрес </w:t>
      </w:r>
      <w:r>
        <w:rPr>
          <w:sz w:val="27"/>
        </w:rPr>
        <w:t xml:space="preserve">контрольного (надзорного) орган</w:t>
      </w:r>
      <w:r>
        <w:rPr>
          <w:sz w:val="27"/>
          <w:szCs w:val="28"/>
        </w:rPr>
        <w:t xml:space="preserve">а своевременно.</w:t>
      </w:r>
      <w:r>
        <w:rPr>
          <w:sz w:val="27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Одним </w:t>
      </w:r>
      <w:r>
        <w:rPr>
          <w:sz w:val="27"/>
          <w:szCs w:val="28"/>
        </w:rPr>
        <w:t xml:space="preserve">из полномочий Министерства при осуществлении регионального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  <w:t xml:space="preserve">государственного строительного надзора </w:t>
      </w:r>
      <w:r>
        <w:rPr>
          <w:sz w:val="27"/>
          <w:szCs w:val="28"/>
        </w:rPr>
        <w:t xml:space="preserve">является рассмотрение обращений граждан в соответствии с требованиями Федерально</w:t>
      </w:r>
      <w:r>
        <w:rPr>
          <w:sz w:val="27"/>
          <w:szCs w:val="28"/>
        </w:rPr>
        <w:t xml:space="preserve">го закона от 02.05.2006 № 59-ФЗ на предмет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  <w:t xml:space="preserve">наличия разрешения на строительство и соответствия объекта капитального стр</w:t>
      </w:r>
      <w:r>
        <w:rPr>
          <w:sz w:val="27"/>
          <w:szCs w:val="28"/>
        </w:rPr>
        <w:t xml:space="preserve">оительства требованиям, указанным в разрешении на строительство, а в случае, если разрешение на строительство не требуется, проверка соответствия параметров объектов капитального строительства предельным параметрам разрешенного строительства, реконструкции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  <w:t xml:space="preserve">объектов капитального строительства, установленным правилами землепользования и застройки.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</w:pPr>
      <w:r>
        <w:rPr>
          <w:sz w:val="27"/>
          <w:szCs w:val="28"/>
        </w:rPr>
        <w:t xml:space="preserve">За </w:t>
      </w:r>
      <w:r>
        <w:rPr>
          <w:sz w:val="27"/>
          <w:szCs w:val="28"/>
        </w:rPr>
        <w:t xml:space="preserve">текущий период 2022</w:t>
      </w:r>
      <w:r>
        <w:rPr>
          <w:sz w:val="27"/>
          <w:szCs w:val="28"/>
        </w:rPr>
        <w:t xml:space="preserve"> года в адрес </w:t>
      </w:r>
      <w:r>
        <w:rPr>
          <w:sz w:val="27"/>
          <w:szCs w:val="28"/>
        </w:rPr>
        <w:t xml:space="preserve">Министерства поступило </w:t>
      </w:r>
      <w:r>
        <w:rPr>
          <w:sz w:val="27"/>
          <w:szCs w:val="28"/>
        </w:rPr>
        <w:t xml:space="preserve">378</w:t>
      </w:r>
      <w:r>
        <w:rPr>
          <w:sz w:val="27"/>
          <w:szCs w:val="28"/>
        </w:rPr>
        <w:t xml:space="preserve"> обращений, </w:t>
      </w:r>
      <w:r>
        <w:rPr>
          <w:sz w:val="27"/>
          <w:szCs w:val="28"/>
        </w:rPr>
        <w:t xml:space="preserve">по результатам которых проведено 64 выездных обследования без взаимо</w:t>
      </w:r>
      <w:r>
        <w:rPr>
          <w:sz w:val="27"/>
          <w:szCs w:val="28"/>
        </w:rPr>
        <w:t xml:space="preserve">действия</w:t>
      </w:r>
      <w:r>
        <w:rPr>
          <w:sz w:val="27"/>
          <w:szCs w:val="28"/>
        </w:rPr>
        <w:t xml:space="preserve">.</w:t>
      </w:r>
      <w:r>
        <w:rPr>
          <w:sz w:val="27"/>
          <w:szCs w:val="28"/>
        </w:rPr>
        <w:t xml:space="preserve"> В</w:t>
      </w:r>
      <w:r>
        <w:rPr>
          <w:sz w:val="27"/>
          <w:szCs w:val="28"/>
        </w:rPr>
        <w:t xml:space="preserve"> органы местного </w:t>
      </w:r>
      <w:r>
        <w:rPr>
          <w:sz w:val="27"/>
          <w:szCs w:val="28"/>
        </w:rPr>
        <w:t xml:space="preserve">самоуправления для принятия мер</w:t>
      </w:r>
      <w:r>
        <w:rPr>
          <w:sz w:val="27"/>
          <w:szCs w:val="28"/>
        </w:rPr>
        <w:t xml:space="preserve"> направлено 18 уведомлений о выявлении самовольной постройки. </w:t>
      </w:r>
      <w:r>
        <w:rPr>
          <w:sz w:val="27"/>
          <w:szCs w:val="28"/>
        </w:rPr>
        <w:t xml:space="preserve">По результатам рассмотрения </w:t>
      </w:r>
      <w:r>
        <w:rPr>
          <w:sz w:val="27"/>
          <w:szCs w:val="28"/>
        </w:rPr>
        <w:t xml:space="preserve">обращений, </w:t>
      </w:r>
      <w:r>
        <w:rPr>
          <w:sz w:val="27"/>
          <w:szCs w:val="28"/>
        </w:rPr>
        <w:t xml:space="preserve">заявителям даны исчерпывающие </w:t>
      </w:r>
      <w:r>
        <w:rPr>
          <w:sz w:val="27"/>
          <w:szCs w:val="28"/>
        </w:rPr>
        <w:t xml:space="preserve">ответы </w:t>
      </w:r>
      <w:r>
        <w:rPr>
          <w:sz w:val="27"/>
          <w:szCs w:val="28"/>
        </w:rPr>
        <w:t xml:space="preserve">в рамках полномочий Министерства. </w:t>
      </w:r>
      <w:r>
        <w:rPr>
          <w:sz w:val="27"/>
          <w:szCs w:val="28"/>
        </w:rPr>
      </w:r>
      <w:r/>
    </w:p>
    <w:p>
      <w:pPr>
        <w:contextualSpacing/>
        <w:ind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8"/>
        </w:rPr>
        <w:t xml:space="preserve">В целях предупреждения нарушений контролируемыми лицами обязательных требований</w:t>
      </w:r>
      <w:r>
        <w:rPr>
          <w:sz w:val="27"/>
          <w:szCs w:val="28"/>
        </w:rPr>
        <w:t xml:space="preserve">, разработано Руководство</w:t>
      </w:r>
      <w:r>
        <w:rPr>
          <w:sz w:val="27"/>
          <w:szCs w:val="28"/>
        </w:rPr>
        <w:t xml:space="preserve"> по соблюдению обязательных требований, утвержденное </w:t>
      </w:r>
      <w:r>
        <w:rPr>
          <w:sz w:val="27"/>
        </w:rPr>
        <w:t xml:space="preserve">приказом </w:t>
      </w:r>
      <w:r>
        <w:rPr>
          <w:sz w:val="27"/>
        </w:rPr>
        <w:t xml:space="preserve">Министерства</w:t>
      </w:r>
      <w:r>
        <w:rPr>
          <w:sz w:val="27"/>
        </w:rPr>
        <w:t xml:space="preserve"> от </w:t>
      </w:r>
      <w:r>
        <w:rPr>
          <w:sz w:val="27"/>
        </w:rPr>
        <w:t xml:space="preserve">14</w:t>
      </w:r>
      <w:r>
        <w:rPr>
          <w:sz w:val="27"/>
        </w:rPr>
        <w:t xml:space="preserve"> </w:t>
      </w:r>
      <w:r>
        <w:rPr>
          <w:sz w:val="27"/>
        </w:rPr>
        <w:t xml:space="preserve">марта 2022</w:t>
      </w:r>
      <w:r>
        <w:rPr>
          <w:sz w:val="27"/>
        </w:rPr>
        <w:t xml:space="preserve"> года №</w:t>
      </w:r>
      <w:r>
        <w:rPr>
          <w:sz w:val="27"/>
        </w:rPr>
        <w:t xml:space="preserve">25/</w:t>
      </w:r>
      <w:r>
        <w:rPr>
          <w:sz w:val="27"/>
        </w:rPr>
        <w:t xml:space="preserve">оп</w:t>
      </w:r>
      <w:r>
        <w:rPr>
          <w:sz w:val="27"/>
        </w:rPr>
        <w:t xml:space="preserve"> «Об утверждении </w:t>
      </w:r>
      <w:r>
        <w:rPr>
          <w:sz w:val="27"/>
        </w:rPr>
        <w:t xml:space="preserve">р</w:t>
      </w:r>
      <w:r>
        <w:rPr>
          <w:sz w:val="27"/>
        </w:rPr>
        <w:t xml:space="preserve">уководств</w:t>
      </w:r>
      <w:r>
        <w:rPr>
          <w:sz w:val="27"/>
        </w:rPr>
        <w:t xml:space="preserve">а</w:t>
      </w:r>
      <w:r>
        <w:rPr>
          <w:sz w:val="27"/>
        </w:rPr>
        <w:t xml:space="preserve"> по соблюдению обязательных требований при осуществлении регионального государственного</w:t>
      </w:r>
      <w:r>
        <w:rPr>
          <w:sz w:val="27"/>
        </w:rPr>
        <w:t xml:space="preserve"> строительного</w:t>
      </w:r>
      <w:r>
        <w:rPr>
          <w:sz w:val="27"/>
        </w:rPr>
        <w:t xml:space="preserve"> надзора </w:t>
      </w:r>
      <w:r>
        <w:rPr>
          <w:sz w:val="27"/>
        </w:rPr>
        <w:t xml:space="preserve">на территории Пензенской области. </w:t>
      </w:r>
      <w:r>
        <w:rPr>
          <w:sz w:val="27"/>
        </w:rPr>
      </w:r>
      <w:r/>
    </w:p>
    <w:p>
      <w:pPr>
        <w:contextualSpacing/>
        <w:ind w:firstLine="709"/>
        <w:jc w:val="both"/>
        <w:rPr>
          <w:color w:val="FF0000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</w:rPr>
        <w:t xml:space="preserve">На официальном сайте контрольного (надзорного) органа размещены положения нормативных правовых актов, содержащих обязательные требования, </w:t>
      </w:r>
      <w:r>
        <w:rPr>
          <w:sz w:val="27"/>
        </w:rPr>
        <w:t xml:space="preserve">соблюдение которых оценивается при осуществлении регионального государственного строительного надзора на территории Пензенской области.</w:t>
      </w:r>
      <w:r>
        <w:rPr>
          <w:sz w:val="27"/>
        </w:rPr>
      </w:r>
      <w:r/>
    </w:p>
    <w:p>
      <w:pPr>
        <w:contextualSpacing/>
        <w:ind w:firstLine="709"/>
        <w:jc w:val="both"/>
        <w:rPr>
          <w:sz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</w:rPr>
      </w:r>
      <w:r/>
    </w:p>
    <w:sectPr>
      <w:footnotePr>
        <w:numRestart w:val="eachPage"/>
      </w:footnotePr>
      <w:endnotePr>
        <w:numFmt w:val="decimal"/>
      </w:endnotePr>
      <w:type w:val="nextPage"/>
      <w:pgSz w:w="11907" w:h="16840" w:orient="portrait"/>
      <w:pgMar w:top="1134" w:right="851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3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3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3"/>
  </w:num>
  <w:num w:numId="9">
    <w:abstractNumId w:val="14"/>
  </w:num>
  <w:num w:numId="10">
    <w:abstractNumId w:val="0"/>
  </w:num>
  <w:num w:numId="11">
    <w:abstractNumId w:val="16"/>
  </w:num>
  <w:num w:numId="12">
    <w:abstractNumId w:val="13"/>
  </w:num>
  <w:num w:numId="13">
    <w:abstractNumId w:val="5"/>
  </w:num>
  <w:num w:numId="14">
    <w:abstractNumId w:val="6"/>
  </w:num>
  <w:num w:numId="15">
    <w:abstractNumId w:val="15"/>
  </w:num>
  <w:num w:numId="16">
    <w:abstractNumId w:val="4"/>
  </w:num>
  <w:num w:numId="17">
    <w:abstractNumId w:val="10"/>
  </w:num>
  <w:num w:numId="18">
    <w:abstractNumId w:val="1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696"/>
    <w:link w:val="687"/>
    <w:uiPriority w:val="9"/>
    <w:rPr>
      <w:rFonts w:ascii="Arial" w:hAnsi="Arial" w:cs="Arial" w:eastAsia="Arial"/>
      <w:sz w:val="40"/>
      <w:szCs w:val="40"/>
    </w:rPr>
  </w:style>
  <w:style w:type="character" w:styleId="674">
    <w:name w:val="Heading 2 Char"/>
    <w:basedOn w:val="696"/>
    <w:link w:val="688"/>
    <w:uiPriority w:val="9"/>
    <w:rPr>
      <w:rFonts w:ascii="Arial" w:hAnsi="Arial" w:cs="Arial" w:eastAsia="Arial"/>
      <w:sz w:val="34"/>
    </w:rPr>
  </w:style>
  <w:style w:type="character" w:styleId="675">
    <w:name w:val="Heading 4 Char"/>
    <w:basedOn w:val="696"/>
    <w:link w:val="690"/>
    <w:uiPriority w:val="9"/>
    <w:rPr>
      <w:rFonts w:ascii="Arial" w:hAnsi="Arial" w:cs="Arial" w:eastAsia="Arial"/>
      <w:b/>
      <w:bCs/>
      <w:sz w:val="26"/>
      <w:szCs w:val="26"/>
    </w:rPr>
  </w:style>
  <w:style w:type="character" w:styleId="676">
    <w:name w:val="Heading 5 Char"/>
    <w:basedOn w:val="696"/>
    <w:link w:val="691"/>
    <w:uiPriority w:val="9"/>
    <w:rPr>
      <w:rFonts w:ascii="Arial" w:hAnsi="Arial" w:cs="Arial" w:eastAsia="Arial"/>
      <w:b/>
      <w:bCs/>
      <w:sz w:val="24"/>
      <w:szCs w:val="24"/>
    </w:rPr>
  </w:style>
  <w:style w:type="character" w:styleId="677">
    <w:name w:val="Heading 6 Char"/>
    <w:basedOn w:val="696"/>
    <w:link w:val="692"/>
    <w:uiPriority w:val="9"/>
    <w:rPr>
      <w:rFonts w:ascii="Arial" w:hAnsi="Arial" w:cs="Arial" w:eastAsia="Arial"/>
      <w:b/>
      <w:bCs/>
      <w:sz w:val="22"/>
      <w:szCs w:val="22"/>
    </w:rPr>
  </w:style>
  <w:style w:type="character" w:styleId="678">
    <w:name w:val="Heading 7 Char"/>
    <w:basedOn w:val="696"/>
    <w:link w:val="6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9">
    <w:name w:val="Heading 8 Char"/>
    <w:basedOn w:val="696"/>
    <w:link w:val="694"/>
    <w:uiPriority w:val="9"/>
    <w:rPr>
      <w:rFonts w:ascii="Arial" w:hAnsi="Arial" w:cs="Arial" w:eastAsia="Arial"/>
      <w:i/>
      <w:iCs/>
      <w:sz w:val="22"/>
      <w:szCs w:val="22"/>
    </w:rPr>
  </w:style>
  <w:style w:type="character" w:styleId="680">
    <w:name w:val="Heading 9 Char"/>
    <w:basedOn w:val="696"/>
    <w:link w:val="695"/>
    <w:uiPriority w:val="9"/>
    <w:rPr>
      <w:rFonts w:ascii="Arial" w:hAnsi="Arial" w:cs="Arial" w:eastAsia="Arial"/>
      <w:i/>
      <w:iCs/>
      <w:sz w:val="21"/>
      <w:szCs w:val="21"/>
    </w:rPr>
  </w:style>
  <w:style w:type="character" w:styleId="681">
    <w:name w:val="Title Char"/>
    <w:basedOn w:val="696"/>
    <w:link w:val="709"/>
    <w:uiPriority w:val="10"/>
    <w:rPr>
      <w:sz w:val="48"/>
      <w:szCs w:val="48"/>
    </w:rPr>
  </w:style>
  <w:style w:type="character" w:styleId="682">
    <w:name w:val="Subtitle Char"/>
    <w:basedOn w:val="696"/>
    <w:link w:val="711"/>
    <w:uiPriority w:val="11"/>
    <w:rPr>
      <w:sz w:val="24"/>
      <w:szCs w:val="24"/>
    </w:rPr>
  </w:style>
  <w:style w:type="character" w:styleId="683">
    <w:name w:val="Quote Char"/>
    <w:link w:val="713"/>
    <w:uiPriority w:val="29"/>
    <w:rPr>
      <w:i/>
    </w:rPr>
  </w:style>
  <w:style w:type="character" w:styleId="684">
    <w:name w:val="Intense Quote Char"/>
    <w:link w:val="715"/>
    <w:uiPriority w:val="30"/>
    <w:rPr>
      <w:i/>
    </w:rPr>
  </w:style>
  <w:style w:type="character" w:styleId="685">
    <w:name w:val="Endnote Text Char"/>
    <w:link w:val="847"/>
    <w:uiPriority w:val="99"/>
    <w:rPr>
      <w:sz w:val="20"/>
    </w:rPr>
  </w:style>
  <w:style w:type="paragraph" w:styleId="686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687">
    <w:name w:val="Heading 1"/>
    <w:basedOn w:val="686"/>
    <w:next w:val="68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89">
    <w:name w:val="Heading 3"/>
    <w:basedOn w:val="686"/>
    <w:next w:val="686"/>
    <w:link w:val="861"/>
    <w:unhideWhenUsed/>
    <w:qFormat/>
    <w:pPr>
      <w:jc w:val="center"/>
      <w:keepNext/>
      <w:outlineLvl w:val="2"/>
    </w:pPr>
    <w:rPr>
      <w:b/>
      <w:sz w:val="4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cs="Arial" w:eastAsia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cs="Arial" w:eastAsia="Arial"/>
      <w:sz w:val="34"/>
    </w:rPr>
  </w:style>
  <w:style w:type="character" w:styleId="701" w:customStyle="1">
    <w:name w:val="Heading 3 Char"/>
    <w:basedOn w:val="696"/>
    <w:uiPriority w:val="9"/>
    <w:rPr>
      <w:rFonts w:ascii="Arial" w:hAnsi="Arial" w:cs="Arial" w:eastAsia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cs="Arial" w:eastAsia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cs="Arial" w:eastAsia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cs="Arial" w:eastAsia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cs="Arial" w:eastAsia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cs="Arial" w:eastAsia="Arial"/>
      <w:i/>
      <w:iCs/>
      <w:sz w:val="21"/>
      <w:szCs w:val="21"/>
    </w:rPr>
  </w:style>
  <w:style w:type="paragraph" w:styleId="708">
    <w:name w:val="No Spacing"/>
    <w:uiPriority w:val="1"/>
    <w:qFormat/>
    <w:pPr>
      <w:spacing w:after="0" w:line="240" w:lineRule="auto"/>
    </w:pPr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paragraph" w:styleId="719">
    <w:name w:val="Caption"/>
    <w:basedOn w:val="686"/>
    <w:next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 w:customStyle="1">
    <w:name w:val="Caption Char"/>
    <w:uiPriority w:val="99"/>
  </w:style>
  <w:style w:type="table" w:styleId="721" w:customStyle="1">
    <w:name w:val="Table Grid Light"/>
    <w:basedOn w:val="69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9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ffffff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ffffff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ffffff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ffffff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ffffff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fffff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26" w:customStyle="1">
    <w:name w:val="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27" w:customStyle="1">
    <w:name w:val="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28" w:customStyle="1">
    <w:name w:val="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29" w:customStyle="1">
    <w:name w:val="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30" w:customStyle="1">
    <w:name w:val="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</w:style>
  <w:style w:type="table" w:styleId="831" w:customStyle="1">
    <w:name w:val="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</w:style>
  <w:style w:type="table" w:styleId="832" w:customStyle="1">
    <w:name w:val="Bordered &amp; 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</w:style>
  <w:style w:type="table" w:styleId="838" w:customStyle="1">
    <w:name w:val="Bordered &amp; 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</w:style>
  <w:style w:type="table" w:styleId="839" w:customStyle="1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 w:customStyle="1">
    <w:name w:val="Footnote Text Char"/>
    <w:uiPriority w:val="99"/>
    <w:rPr>
      <w:sz w:val="18"/>
    </w:rPr>
  </w:style>
  <w:style w:type="paragraph" w:styleId="847">
    <w:name w:val="endnote text"/>
    <w:basedOn w:val="686"/>
    <w:link w:val="848"/>
    <w:uiPriority w:val="99"/>
    <w:semiHidden/>
    <w:unhideWhenUsed/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96"/>
    <w:uiPriority w:val="99"/>
    <w:semiHidden/>
    <w:unhideWhenUsed/>
    <w:rPr>
      <w:vertAlign w:val="superscript"/>
    </w:rPr>
  </w:style>
  <w:style w:type="paragraph" w:styleId="850">
    <w:name w:val="toc 1"/>
    <w:basedOn w:val="686"/>
    <w:next w:val="686"/>
    <w:uiPriority w:val="39"/>
    <w:unhideWhenUsed/>
    <w:pPr>
      <w:spacing w:after="57"/>
    </w:pPr>
  </w:style>
  <w:style w:type="paragraph" w:styleId="851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2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3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4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5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6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7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58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86"/>
    <w:next w:val="686"/>
    <w:uiPriority w:val="99"/>
    <w:unhideWhenUsed/>
  </w:style>
  <w:style w:type="character" w:styleId="861" w:customStyle="1">
    <w:name w:val="Заголовок 3 Знак"/>
    <w:basedOn w:val="696"/>
    <w:link w:val="689"/>
    <w:rPr>
      <w:rFonts w:ascii="Times New Roman" w:hAnsi="Times New Roman" w:cs="Times New Roman" w:eastAsia="Times New Roman"/>
      <w:b/>
      <w:sz w:val="40"/>
      <w:szCs w:val="20"/>
      <w:lang w:eastAsia="ru-RU"/>
    </w:rPr>
  </w:style>
  <w:style w:type="paragraph" w:styleId="862">
    <w:name w:val="List Paragraph"/>
    <w:basedOn w:val="686"/>
    <w:uiPriority w:val="34"/>
    <w:qFormat/>
    <w:pPr>
      <w:contextualSpacing/>
      <w:ind w:left="720"/>
    </w:pPr>
  </w:style>
  <w:style w:type="paragraph" w:styleId="863" w:customStyle="1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864" w:customStyle="1">
    <w:name w:val="ConsPlusTitle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865">
    <w:name w:val="Balloon Text"/>
    <w:basedOn w:val="686"/>
    <w:link w:val="866"/>
    <w:uiPriority w:val="99"/>
    <w:semiHidden/>
    <w:unhideWhenUsed/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696"/>
    <w:link w:val="865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867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868" w:customStyle="1">
    <w:name w:val="ConsPlusTitlePage"/>
    <w:pPr>
      <w:spacing w:after="0" w:line="240" w:lineRule="auto"/>
      <w:widowControl w:val="off"/>
    </w:pPr>
    <w:rPr>
      <w:rFonts w:ascii="Tahoma" w:hAnsi="Tahoma" w:cs="Tahoma" w:eastAsia="Times New Roman"/>
      <w:sz w:val="20"/>
      <w:szCs w:val="20"/>
      <w:lang w:eastAsia="ru-RU"/>
    </w:rPr>
  </w:style>
  <w:style w:type="table" w:styleId="869" w:customStyle="1">
    <w:name w:val="Сетка таблицы1"/>
    <w:basedOn w:val="697"/>
    <w:next w:val="870"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Table Grid"/>
    <w:basedOn w:val="6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1">
    <w:name w:val="Header"/>
    <w:basedOn w:val="686"/>
    <w:link w:val="8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2" w:customStyle="1">
    <w:name w:val="Верхний колонтитул Знак"/>
    <w:basedOn w:val="696"/>
    <w:link w:val="871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873">
    <w:name w:val="Footer"/>
    <w:basedOn w:val="686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 w:customStyle="1">
    <w:name w:val="Нижний колонтитул Знак"/>
    <w:basedOn w:val="696"/>
    <w:link w:val="873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875">
    <w:name w:val="footnote text"/>
    <w:basedOn w:val="686"/>
    <w:link w:val="876"/>
    <w:uiPriority w:val="99"/>
    <w:semiHidden/>
    <w:unhideWhenUsed/>
  </w:style>
  <w:style w:type="character" w:styleId="876" w:customStyle="1">
    <w:name w:val="Текст сноски Знак"/>
    <w:basedOn w:val="696"/>
    <w:link w:val="875"/>
    <w:uiPriority w:val="99"/>
    <w:semiHidden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877">
    <w:name w:val="footnote reference"/>
    <w:semiHidden/>
    <w:unhideWhenUsed/>
    <w:rPr>
      <w:vertAlign w:val="superscript"/>
    </w:rPr>
  </w:style>
  <w:style w:type="character" w:styleId="878">
    <w:name w:val="Hyperlink"/>
    <w:basedOn w:val="696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Викторовна</dc:creator>
  <cp:keywords/>
  <dc:description/>
  <cp:revision>9</cp:revision>
  <dcterms:created xsi:type="dcterms:W3CDTF">2021-10-01T08:18:00Z</dcterms:created>
  <dcterms:modified xsi:type="dcterms:W3CDTF">2023-03-13T09:46:06Z</dcterms:modified>
</cp:coreProperties>
</file>