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>
        <w:trPr>
          <w:trHeight w:val="397"/>
        </w:trPr>
        <w:tc>
          <w:tcPr>
            <w:tcW w:w="96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  <w:framePr w:h="2551" w:wrap="around" w:vAnchor="page" w:hAnchor="page" w:x="1388" w:y="2409" w:hRule="atLeast"/>
            </w:pPr>
            <w:r>
              <w:rPr>
                <w:b/>
                <w:sz w:val="28"/>
              </w:rPr>
            </w:r>
            <w:r/>
          </w:p>
        </w:tc>
      </w:tr>
      <w:tr>
        <w:trPr/>
        <w:tc>
          <w:tcPr>
            <w:tcW w:w="96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  <w:framePr w:h="2551" w:wrap="around" w:vAnchor="page" w:hAnchor="page" w:x="1388" w:y="2409" w:hRule="atLeast"/>
            </w:pPr>
            <w:r>
              <w:rPr>
                <w:b/>
                <w:sz w:val="28"/>
                <w:szCs w:val="28"/>
              </w:rPr>
              <w:t xml:space="preserve">МИНИСТЕРСТВО ГРАДОСТРОИТЕЛЬСТВА И АРХИТЕКТУРЫ ПЕНЗЕНСКОЙ ОБЛАСТИ</w:t>
            </w:r>
            <w:r/>
          </w:p>
        </w:tc>
      </w:tr>
      <w:tr>
        <w:trPr>
          <w:trHeight w:val="397"/>
        </w:trPr>
        <w:tc>
          <w:tcPr>
            <w:tcW w:w="960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framePr w:h="2551" w:wrap="around" w:vAnchor="page" w:hAnchor="page" w:x="1388" w:y="2409" w:hRule="atLeast"/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9600" w:type="dxa"/>
            <w:textDirection w:val="lrTb"/>
            <w:noWrap w:val="false"/>
          </w:tcPr>
          <w:p>
            <w:pPr>
              <w:pStyle w:val="689"/>
              <w:rPr>
                <w:sz w:val="32"/>
                <w:szCs w:val="32"/>
              </w:rPr>
              <w:framePr w:h="2551" w:wrap="around" w:vAnchor="page" w:hAnchor="page" w:x="1388" w:y="2409" w:hRule="atLeast"/>
            </w:pPr>
            <w:r>
              <w:rPr>
                <w:sz w:val="32"/>
                <w:szCs w:val="32"/>
              </w:rPr>
              <w:t xml:space="preserve">П</w:t>
            </w:r>
            <w:r>
              <w:rPr>
                <w:sz w:val="32"/>
                <w:szCs w:val="32"/>
              </w:rPr>
              <w:t xml:space="preserve"> Р И К А З</w:t>
            </w:r>
            <w:r/>
          </w:p>
        </w:tc>
      </w:tr>
      <w:tr>
        <w:trPr>
          <w:trHeight w:val="340"/>
        </w:trPr>
        <w:tc>
          <w:tcPr>
            <w:tcW w:w="9600" w:type="dxa"/>
            <w:vAlign w:val="center"/>
            <w:textDirection w:val="lrTb"/>
            <w:noWrap w:val="false"/>
          </w:tcPr>
          <w:p>
            <w:pPr>
              <w:pStyle w:val="689"/>
              <w:framePr w:h="2551" w:wrap="around" w:vAnchor="page" w:hAnchor="page" w:x="1388" w:y="2409" w:hRule="atLeast"/>
            </w:pPr>
            <w:r/>
            <w:r/>
          </w:p>
        </w:tc>
      </w:tr>
    </w:tbl>
    <w:p>
      <w:pPr>
        <w:jc w:val="center"/>
      </w:pPr>
      <w:r>
        <w:rPr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-247650</wp:posOffset>
                </wp:positionV>
                <wp:extent cx="728980" cy="967105"/>
                <wp:effectExtent l="0" t="0" r="0" b="4445"/>
                <wp:wrapSquare wrapText="bothSides"/>
                <wp:docPr id="1" name="Рисунок 1" descr="Герб ППО (вектор) черная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Герб ППО (вектор) черная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8980" cy="967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7.1pt;mso-position-horizontal:absolute;mso-position-vertical-relative:text;margin-top:-19.5pt;mso-position-vertical:absolute;width:57.4pt;height:76.1pt;" stroked="false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>
        <w:trPr/>
        <w:tc>
          <w:tcPr>
            <w:tcW w:w="284" w:type="dxa"/>
            <w:vAlign w:val="bottom"/>
            <w:textDirection w:val="lrTb"/>
            <w:noWrap w:val="false"/>
          </w:tcPr>
          <w:p>
            <w:pPr>
              <w:rPr>
                <w:sz w:val="24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03.03.2023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framePr w:wrap="around" w:vAnchor="page" w:hAnchor="page" w:x="3892" w:y="4915"/>
            </w:pPr>
            <w:r>
              <w:rPr>
                <w:sz w:val="24"/>
                <w:szCs w:val="24"/>
              </w:rPr>
              <w:t xml:space="preserve">№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85/оп</w:t>
            </w:r>
            <w:r/>
          </w:p>
        </w:tc>
      </w:tr>
      <w:tr>
        <w:trPr/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rPr>
                <w:sz w:val="10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 </w:t>
            </w:r>
            <w:r/>
          </w:p>
          <w:p>
            <w:pPr>
              <w:jc w:val="center"/>
              <w:rPr>
                <w:sz w:val="24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г. Пенза</w:t>
            </w:r>
            <w:r>
              <w:rPr>
                <w:b/>
                <w:sz w:val="24"/>
              </w:rPr>
              <w:t xml:space="preserve"> </w:t>
            </w:r>
            <w:r/>
          </w:p>
        </w:tc>
      </w:tr>
    </w:tbl>
    <w:p>
      <w:pPr>
        <w:jc w:val="center"/>
        <w:spacing w:line="192" w:lineRule="auto"/>
        <w:rPr>
          <w:b/>
          <w:sz w:val="30"/>
        </w:rPr>
      </w:pPr>
      <w:r>
        <w:rPr>
          <w:b/>
          <w:sz w:val="30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/>
    </w:p>
    <w:p>
      <w:pPr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</w:r>
      <w:r/>
    </w:p>
    <w:p>
      <w:pPr>
        <w:ind w:firstLine="567"/>
        <w:jc w:val="center"/>
        <w:rPr>
          <w:rFonts w:eastAsia="Calibri"/>
          <w:b/>
          <w:sz w:val="27"/>
          <w:szCs w:val="24"/>
        </w:rPr>
      </w:pPr>
      <w:r>
        <w:rPr>
          <w:rFonts w:eastAsia="Calibri"/>
          <w:b/>
          <w:sz w:val="27"/>
          <w:szCs w:val="24"/>
        </w:rPr>
        <w:t xml:space="preserve">Об утверждении Докладов о правоприменительной практике контрольной (надзорной) деятельности Министерства градостроительства и архитектуры Пензенской области за 2022 год</w:t>
      </w:r>
      <w:r/>
    </w:p>
    <w:p>
      <w:pPr>
        <w:ind w:firstLine="567"/>
        <w:jc w:val="center"/>
        <w:rPr>
          <w:rFonts w:eastAsia="Calibri"/>
          <w:sz w:val="27"/>
        </w:rPr>
      </w:pPr>
      <w:r>
        <w:rPr>
          <w:rFonts w:eastAsia="Calibri"/>
          <w:sz w:val="27"/>
        </w:rPr>
      </w:r>
      <w:r/>
    </w:p>
    <w:p>
      <w:pPr>
        <w:ind w:left="0" w:right="0" w:firstLine="567"/>
        <w:jc w:val="both"/>
        <w:rPr>
          <w:sz w:val="27"/>
        </w:rPr>
      </w:pPr>
      <w:r>
        <w:rPr>
          <w:sz w:val="27"/>
          <w:szCs w:val="28"/>
        </w:rPr>
      </w:r>
      <w:r>
        <w:rPr>
          <w:rFonts w:eastAsia="Calibri"/>
          <w:sz w:val="27"/>
          <w:szCs w:val="24"/>
        </w:rPr>
        <w:t xml:space="preserve">В соответствии со ст. 47 Федерального закона от 31.07.2020 г. № 248-ФЗ «О государственном контроле (надзоре) и муниципальном контроле в Российской Федерации»,</w:t>
      </w:r>
      <w:r>
        <w:rPr>
          <w:sz w:val="27"/>
          <w:szCs w:val="28"/>
        </w:rPr>
        <w:t xml:space="preserve"> руководствуясь постановлением Правительства Пензенской област</w:t>
      </w:r>
      <w:r>
        <w:rPr>
          <w:sz w:val="27"/>
          <w:szCs w:val="28"/>
          <w:highlight w:val="white"/>
        </w:rPr>
        <w:t xml:space="preserve">и от 20.01.2022 г. № 29-пП «Об</w:t>
      </w:r>
      <w:r>
        <w:rPr>
          <w:sz w:val="27"/>
          <w:szCs w:val="28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b/>
          <w:sz w:val="27"/>
          <w:szCs w:val="28"/>
        </w:rPr>
        <w:t xml:space="preserve">п</w:t>
      </w:r>
      <w:r>
        <w:rPr>
          <w:b/>
          <w:sz w:val="27"/>
          <w:szCs w:val="28"/>
        </w:rPr>
        <w:t xml:space="preserve"> р и к а з ы в а ю: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sz w:val="27"/>
          <w:szCs w:val="28"/>
        </w:rPr>
        <w:t xml:space="preserve">1. Утвердить </w:t>
      </w:r>
      <w:r>
        <w:rPr>
          <w:rFonts w:eastAsia="Calibri"/>
          <w:sz w:val="27"/>
          <w:szCs w:val="24"/>
        </w:rPr>
        <w:t xml:space="preserve">Доклад о правоприменительной практике при осуществлении регионального государственного строительного надзора на территории Пензенской области за 2022 год.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rFonts w:eastAsia="Calibri"/>
          <w:sz w:val="27"/>
          <w:szCs w:val="24"/>
        </w:rPr>
        <w:t xml:space="preserve">2. Утвердить </w:t>
      </w:r>
      <w:r>
        <w:rPr>
          <w:rFonts w:eastAsia="Calibri"/>
          <w:sz w:val="27"/>
          <w:szCs w:val="24"/>
        </w:rPr>
        <w:t xml:space="preserve">Доклад о правоприменительной практике при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за 2022 год</w:t>
      </w:r>
      <w:r>
        <w:rPr>
          <w:rFonts w:eastAsia="Calibri"/>
          <w:sz w:val="27"/>
          <w:szCs w:val="24"/>
        </w:rPr>
        <w:t xml:space="preserve">.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rFonts w:eastAsia="Calibri"/>
          <w:sz w:val="27"/>
          <w:szCs w:val="24"/>
        </w:rPr>
        <w:t xml:space="preserve">3. Утвердить Доклад о правоприменительной практике при осуществлении </w:t>
      </w:r>
      <w:r>
        <w:rPr>
          <w:rFonts w:eastAsia="Calibri"/>
          <w:sz w:val="27"/>
          <w:szCs w:val="27"/>
        </w:rPr>
        <w:t xml:space="preserve"> государственного контроля </w:t>
      </w:r>
      <w:r>
        <w:rPr>
          <w:rFonts w:eastAsia="Calibri"/>
          <w:sz w:val="27"/>
          <w:szCs w:val="27"/>
        </w:rPr>
        <w:t xml:space="preserve">(надзора) в области долевого строительства многоквартирных домов и (или) иных объектов недвижимости, а также за деятельностью жилищно-строительных кооперативов, связанной со строительством многоквартирных домов, на территории Пензенской области за 2022 год</w:t>
      </w:r>
      <w:r>
        <w:rPr>
          <w:rFonts w:eastAsia="Calibri"/>
          <w:sz w:val="27"/>
          <w:szCs w:val="24"/>
        </w:rPr>
        <w:t xml:space="preserve">.</w:t>
      </w:r>
      <w:r/>
    </w:p>
    <w:p>
      <w:pPr>
        <w:ind w:firstLine="567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4. Настоящий приказ разместить (опубликовать) на официальном сайте Министерства градостроительства и архитектуры Пензенской области в информационно-телекоммуникационной сети «Интернет».</w:t>
      </w:r>
      <w:r/>
    </w:p>
    <w:p>
      <w:pPr>
        <w:ind w:firstLine="567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5. Контроль за исполнением настоящего приказа возложить на Управление (Инспекцию) государственного строительного надзора, долевого строительства и </w:t>
      </w:r>
      <w:r>
        <w:rPr>
          <w:sz w:val="27"/>
          <w:szCs w:val="28"/>
        </w:rPr>
        <w:t xml:space="preserve">сохранности</w:t>
      </w:r>
      <w:r>
        <w:rPr>
          <w:sz w:val="27"/>
          <w:szCs w:val="28"/>
        </w:rPr>
        <w:t xml:space="preserve"> автомобильных дорог.</w:t>
      </w:r>
      <w:r/>
    </w:p>
    <w:p>
      <w:pPr>
        <w:jc w:val="both"/>
        <w:spacing w:line="276" w:lineRule="auto"/>
        <w:rPr>
          <w:sz w:val="27"/>
          <w:szCs w:val="27"/>
        </w:rPr>
      </w:pPr>
      <w:r>
        <w:rPr>
          <w:sz w:val="27"/>
          <w:szCs w:val="27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5114"/>
        <w:gridCol w:w="4740"/>
      </w:tblGrid>
      <w:tr>
        <w:trPr/>
        <w:tc>
          <w:tcPr>
            <w:tcW w:w="5211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  <w:p>
            <w:pPr>
              <w:jc w:val="both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</w:rPr>
              <w:t xml:space="preserve">Министр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  <w:p>
            <w:pPr>
              <w:jc w:val="right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А.П. Итальянцев </w:t>
            </w:r>
            <w:r/>
          </w:p>
        </w:tc>
      </w:tr>
    </w:tbl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jc w:val="right"/>
      </w:pPr>
      <w:r>
        <w:rPr>
          <w:sz w:val="24"/>
          <w:szCs w:val="4"/>
        </w:rPr>
        <w:t xml:space="preserve">Приложение №3</w:t>
      </w:r>
      <w:r/>
    </w:p>
    <w:p>
      <w:pPr>
        <w:jc w:val="right"/>
      </w:pPr>
      <w:r>
        <w:rPr>
          <w:sz w:val="24"/>
          <w:szCs w:val="4"/>
        </w:rPr>
        <w:t xml:space="preserve">к приказу</w:t>
      </w:r>
      <w:r/>
    </w:p>
    <w:p>
      <w:pPr>
        <w:jc w:val="right"/>
      </w:pPr>
      <w:r>
        <w:rPr>
          <w:sz w:val="24"/>
          <w:szCs w:val="4"/>
        </w:rPr>
        <w:t xml:space="preserve">Министерства градостроительства</w:t>
      </w:r>
      <w:r/>
    </w:p>
    <w:p>
      <w:pPr>
        <w:jc w:val="right"/>
      </w:pPr>
      <w:r>
        <w:rPr>
          <w:sz w:val="24"/>
          <w:szCs w:val="4"/>
        </w:rPr>
        <w:t xml:space="preserve">и архитектуры</w:t>
      </w:r>
      <w:r/>
    </w:p>
    <w:p>
      <w:pPr>
        <w:jc w:val="right"/>
      </w:pPr>
      <w:r>
        <w:rPr>
          <w:sz w:val="24"/>
          <w:szCs w:val="4"/>
        </w:rPr>
        <w:t xml:space="preserve">Пензенской области</w:t>
      </w:r>
      <w:r/>
    </w:p>
    <w:p>
      <w:pPr>
        <w:jc w:val="right"/>
      </w:pPr>
      <w:r>
        <w:rPr>
          <w:sz w:val="24"/>
          <w:szCs w:val="4"/>
        </w:rPr>
        <w:t xml:space="preserve">                                                                                                       </w:t>
      </w:r>
      <w:r>
        <w:rPr>
          <w:sz w:val="24"/>
          <w:szCs w:val="4"/>
        </w:rPr>
        <w:t xml:space="preserve"> от «03» марта 2023 №85/оп</w:t>
      </w:r>
      <w:r>
        <w:rPr>
          <w:sz w:val="24"/>
          <w:szCs w:val="4"/>
        </w:rPr>
      </w:r>
      <w:r/>
    </w:p>
    <w:p>
      <w:pPr>
        <w:jc w:val="center"/>
      </w:pPr>
      <w:r>
        <w:rPr>
          <w:sz w:val="24"/>
          <w:szCs w:val="4"/>
        </w:rPr>
        <w:t xml:space="preserve">            </w:t>
      </w:r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both"/>
        <w:rPr>
          <w:color w:val="000000"/>
        </w:rPr>
      </w:pPr>
      <w:r>
        <w:rPr>
          <w:color w:val="000000"/>
        </w:rPr>
      </w:r>
      <w:r/>
    </w:p>
    <w:p>
      <w:pPr>
        <w:jc w:val="center"/>
        <w:rPr>
          <w:color w:val="000000"/>
          <w:sz w:val="27"/>
        </w:rPr>
      </w:pPr>
      <w:r>
        <w:rPr>
          <w:b/>
          <w:color w:val="000000" w:themeColor="text1"/>
          <w:sz w:val="27"/>
        </w:rPr>
        <w:t xml:space="preserve">Доклад о правоприменительной практике при осуществлении </w:t>
      </w:r>
      <w:r>
        <w:rPr>
          <w:rFonts w:eastAsia="Calibri"/>
          <w:b/>
          <w:sz w:val="27"/>
          <w:szCs w:val="27"/>
        </w:rPr>
        <w:t xml:space="preserve"> государственно</w:t>
      </w:r>
      <w:r>
        <w:rPr>
          <w:rFonts w:eastAsia="Calibri"/>
          <w:b/>
          <w:sz w:val="27"/>
          <w:szCs w:val="27"/>
        </w:rPr>
        <w:t xml:space="preserve">го контроля (надзора) в области долевого строительства многоквартирных домов и (или) иных объектов недвижимости, а также за деятельностью жилищно-строительных кооперативов, связанной со строительством многоквартирных домов, на территории Пензенской области</w:t>
      </w:r>
      <w:r>
        <w:rPr>
          <w:b/>
          <w:color w:val="000000" w:themeColor="text1"/>
          <w:sz w:val="27"/>
        </w:rPr>
        <w:t xml:space="preserve"> за 2022 год </w:t>
      </w:r>
      <w:r/>
    </w:p>
    <w:p>
      <w:pPr>
        <w:jc w:val="center"/>
        <w:rPr>
          <w:color w:val="000000"/>
          <w:sz w:val="27"/>
        </w:rPr>
      </w:pPr>
      <w:r>
        <w:rPr>
          <w:color w:val="000000"/>
          <w:sz w:val="27"/>
        </w:rPr>
      </w:r>
      <w:r/>
    </w:p>
    <w:p>
      <w:pPr>
        <w:jc w:val="center"/>
        <w:rPr>
          <w:color w:val="000000"/>
          <w:sz w:val="27"/>
        </w:rPr>
      </w:pPr>
      <w:r>
        <w:rPr>
          <w:b/>
          <w:color w:val="000000"/>
          <w:sz w:val="27"/>
          <w:szCs w:val="4"/>
        </w:rPr>
        <w:t xml:space="preserve">Раздел </w:t>
      </w:r>
      <w:r>
        <w:rPr>
          <w:b/>
          <w:color w:val="000000"/>
          <w:sz w:val="27"/>
          <w:szCs w:val="4"/>
          <w:lang w:val="en-US"/>
        </w:rPr>
        <w:t xml:space="preserve">I</w:t>
      </w:r>
      <w:r>
        <w:rPr>
          <w:b/>
          <w:color w:val="000000"/>
          <w:sz w:val="27"/>
          <w:szCs w:val="4"/>
        </w:rPr>
        <w:t xml:space="preserve">. Общие положения</w:t>
      </w:r>
      <w:r/>
    </w:p>
    <w:p>
      <w:pPr>
        <w:jc w:val="center"/>
        <w:rPr>
          <w:color w:val="000000"/>
          <w:sz w:val="27"/>
        </w:rPr>
      </w:pPr>
      <w:r>
        <w:rPr>
          <w:color w:val="000000"/>
          <w:sz w:val="27"/>
        </w:rPr>
      </w:r>
      <w:r/>
    </w:p>
    <w:p>
      <w:pPr>
        <w:pStyle w:val="862"/>
        <w:numPr>
          <w:ilvl w:val="0"/>
          <w:numId w:val="20"/>
        </w:numPr>
        <w:ind w:left="0" w:firstLine="567"/>
        <w:jc w:val="both"/>
        <w:spacing w:after="0" w:line="240" w:lineRule="auto"/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Обзор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правоприменительной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 практики контрольной (надзорной) деятельности п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ри осуществлении государстве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нного контроля (надзора) в области долевого строительства многоквартирных домов и (или) иных объектов недвижимости, а также за деятельностью жилищно-строительных кооперативов, связанной с привлечением средств членов кооперативов для строительства многоквар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тирных домов на территории Пензенской области Министерством градостроительства и архитектуры Пензенской области (далее -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Минград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 Пензенской области) подготовлен в соответствии со статьей 47 Федерального закона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 от 31 июля 2020 №248-ФЗ «О государственном кон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троле (надзоре) и муниципальном контроле в Российской Федерации (далее - Федеральный закон № 248-ФЗ).</w:t>
      </w:r>
      <w:r>
        <w:rPr>
          <w:rFonts w:ascii="Times New Roman" w:hAnsi="Times New Roman" w:cs="Times New Roman"/>
          <w:szCs w:val="27"/>
        </w:rPr>
      </w:r>
      <w:r/>
    </w:p>
    <w:p>
      <w:pPr>
        <w:pStyle w:val="862"/>
        <w:numPr>
          <w:ilvl w:val="0"/>
          <w:numId w:val="20"/>
        </w:numPr>
        <w:ind w:left="0" w:firstLine="567"/>
        <w:jc w:val="both"/>
        <w:spacing w:after="0" w:line="240" w:lineRule="auto"/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Согласно по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становлению Правительства Пензенской области от 24.09.2021 №629-пП «О внесении изменений в Положение о Министерстве строительства и дорожного хозяйства Пензенской области, утвержденное постановлением Правительства Пензенской области от 23.01.2017 №13-пП (с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 последующими изменениями), и признании утратившими силу отдельных нормативных правовых актов Правительства Пензенской области» Министерство строительства и дорожного хозяйства Пензенской области (далее - Минстрой Пензенской области) являлось правопреемник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ом по правам и обязанностям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области, за исключением вопросов, относящихся к сфере осуществления р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егионального государственного жилищного надзора, а также регионального государственного надзора в области технического состояния и эксплуатации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lang w:eastAsia="ru-RU"/>
        </w:rPr>
        <w:t xml:space="preserve"> самоходных машин и других видов техники, аттракционов.</w:t>
      </w:r>
      <w:r>
        <w:rPr>
          <w:rFonts w:ascii="Times New Roman" w:hAnsi="Times New Roman" w:cs="Times New Roman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В соответствии с </w:t>
      </w:r>
      <w:r>
        <w:rPr>
          <w:rFonts w:ascii="Times New Roman" w:hAnsi="Times New Roman" w:cs="Times New Roman"/>
          <w:sz w:val="27"/>
          <w:szCs w:val="27"/>
        </w:rPr>
        <w:t xml:space="preserve">постановлением Правительства Пензенской </w:t>
      </w:r>
      <w:r>
        <w:rPr>
          <w:rFonts w:ascii="Times New Roman" w:hAnsi="Times New Roman" w:cs="Times New Roman"/>
          <w:sz w:val="27"/>
          <w:szCs w:val="27"/>
        </w:rPr>
        <w:t xml:space="preserve">област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и от 20.01.2022 № 29-пП «Об</w:t>
      </w:r>
      <w:r>
        <w:rPr>
          <w:rFonts w:ascii="Times New Roman" w:hAnsi="Times New Roman" w:cs="Times New Roman"/>
          <w:sz w:val="27"/>
          <w:szCs w:val="27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Минград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 Пензенской области является  исполнительным органом государственной власти Пензенской области, уполномоченным осуществлять р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егиональный государственный строительный надзор, региональный государственный контроль (надзор) в области долевого строительства многоквартирных домов и (или) иных объектов недвижимости, региональный государственный контроль (надзор) за деятельностью жилищ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но-строительных кооперативов, связанной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 с привлечением сре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дств чл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енов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кооперативов для строительства многоквартирных домов.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Минград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 Пензенской области является правопреемником по правам и обязанностям Минстроя по вопросам осуществления вышеуказанных видов 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контроля (надзора).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  <w:color w:val="000000"/>
          <w:sz w:val="27"/>
          <w:szCs w:val="27"/>
        </w:rPr>
      </w:r>
      <w:r/>
    </w:p>
    <w:p>
      <w:pPr>
        <w:ind w:firstLine="567"/>
        <w:jc w:val="center"/>
        <w:spacing w:after="0" w:line="240" w:lineRule="auto"/>
      </w:pPr>
      <w:r>
        <w:rPr>
          <w:rFonts w:ascii="Times New Roman" w:hAnsi="Times New Roman" w:cs="Times New Roman"/>
          <w:b/>
          <w:sz w:val="27"/>
          <w:szCs w:val="27"/>
        </w:rPr>
        <w:t xml:space="preserve">Раздел II. Правоприменительная практика организации и проведения регионального государственного строительного надзора</w:t>
      </w:r>
      <w:r>
        <w:rPr>
          <w:rFonts w:ascii="Times New Roman" w:hAnsi="Times New Roman" w:cs="Times New Roman"/>
          <w:szCs w:val="27"/>
        </w:rPr>
      </w:r>
      <w:r/>
    </w:p>
    <w:p>
      <w:pPr>
        <w:ind w:firstLine="567"/>
        <w:jc w:val="center"/>
        <w:spacing w:after="0" w:line="240" w:lineRule="auto"/>
      </w:pPr>
      <w:r>
        <w:rPr>
          <w:rFonts w:ascii="Times New Roman" w:hAnsi="Times New Roman" w:cs="Times New Roman"/>
          <w:szCs w:val="27"/>
        </w:rPr>
      </w:r>
      <w:r>
        <w:rPr>
          <w:rFonts w:ascii="Times New Roman" w:hAnsi="Times New Roman" w:cs="Times New Roman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С 1 июля 2021 года вступил в силу Федеральный закон № 248-ФЗ, </w:t>
      </w:r>
      <w:r>
        <w:rPr>
          <w:rFonts w:ascii="Times New Roman" w:hAnsi="Times New Roman" w:cs="Times New Roman"/>
          <w:sz w:val="27"/>
          <w:szCs w:val="27"/>
        </w:rPr>
        <w:t xml:space="preserve">согласно пункта</w:t>
      </w:r>
      <w:r>
        <w:rPr>
          <w:rFonts w:ascii="Times New Roman" w:hAnsi="Times New Roman" w:cs="Times New Roman"/>
          <w:sz w:val="27"/>
          <w:szCs w:val="27"/>
        </w:rPr>
        <w:t xml:space="preserve"> 3 части 2 статьи 3 которого, порядок о</w:t>
      </w:r>
      <w:r>
        <w:rPr>
          <w:rFonts w:ascii="Times New Roman" w:hAnsi="Times New Roman" w:cs="Times New Roman"/>
          <w:sz w:val="27"/>
          <w:szCs w:val="27"/>
        </w:rPr>
        <w:t xml:space="preserve">рганизации и осуществления государственного контроля (надзора) устанавливается положением о виде регионального государственного контроля (надзора), утверждаемым высшим исполнительным органом государственной власти субъекта Российской Федерации.</w:t>
      </w:r>
      <w:r>
        <w:rPr>
          <w:rFonts w:ascii="Times New Roman" w:hAnsi="Times New Roman" w:cs="Times New Roman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Часть 4 ста</w:t>
      </w:r>
      <w:r>
        <w:rPr>
          <w:rFonts w:ascii="Times New Roman" w:hAnsi="Times New Roman" w:cs="Times New Roman"/>
          <w:sz w:val="27"/>
          <w:szCs w:val="27"/>
        </w:rPr>
        <w:t xml:space="preserve">тьи 98 Федерального закона № 248-ФЗ предусматривает, что Положения о видах регионального государственного контроля (надзора) подлежат утверждению до 1 января 2022 года. 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С 23.12.2021 вступило в силу постановление Правительства Пензенской области от 23.12.2021 № 903-пП «Об утверждении Положения о региональном государственном контроле (надзоре) в области долевого строительства </w:t>
      </w:r>
      <w:r>
        <w:rPr>
          <w:rFonts w:ascii="Times New Roman" w:hAnsi="Times New Roman" w:cs="Times New Roman"/>
          <w:sz w:val="27"/>
          <w:szCs w:val="27"/>
        </w:rPr>
        <w:t xml:space="preserve">многоквартирных домов и (или) иных объектов недвижимости, а также о региональном государственном контроле (надзоре) за деятельностью жилищно-строительных кооперативов, связанной с привлечением средств членов кооперативов для строительства многоквартирных д</w:t>
      </w:r>
      <w:r>
        <w:rPr>
          <w:rFonts w:ascii="Times New Roman" w:hAnsi="Times New Roman" w:cs="Times New Roman"/>
          <w:sz w:val="27"/>
          <w:szCs w:val="27"/>
        </w:rPr>
        <w:t xml:space="preserve">омов на территории Пензенской области».</w:t>
      </w:r>
      <w:r>
        <w:rPr>
          <w:rFonts w:ascii="Times New Roman" w:hAnsi="Times New Roman" w:cs="Times New Roman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недвижимости, а также регионального государственного контроля (надзора)</w:t>
      </w:r>
      <w:r>
        <w:rPr>
          <w:rFonts w:ascii="Times New Roman" w:hAnsi="Times New Roman" w:cs="Times New Roman"/>
          <w:sz w:val="27"/>
          <w:szCs w:val="27"/>
        </w:rPr>
        <w:t xml:space="preserve"> за деятельностью жилищно-строительных кооперативов, связанной с привлечением сре</w:t>
      </w:r>
      <w:r>
        <w:rPr>
          <w:rFonts w:ascii="Times New Roman" w:hAnsi="Times New Roman" w:cs="Times New Roman"/>
          <w:sz w:val="27"/>
          <w:szCs w:val="27"/>
        </w:rPr>
        <w:t xml:space="preserve">дств чл</w:t>
      </w:r>
      <w:r>
        <w:rPr>
          <w:rFonts w:ascii="Times New Roman" w:hAnsi="Times New Roman" w:cs="Times New Roman"/>
          <w:sz w:val="27"/>
          <w:szCs w:val="27"/>
        </w:rPr>
        <w:t xml:space="preserve">енов кооперативов для строительства многоквартирных домов на территории Пензенской области, контрольный (надзорный) орган применяет нормы следующих нормативно-правовых </w:t>
      </w:r>
      <w:r>
        <w:rPr>
          <w:rFonts w:ascii="Times New Roman" w:hAnsi="Times New Roman" w:cs="Times New Roman"/>
          <w:sz w:val="27"/>
          <w:szCs w:val="27"/>
        </w:rPr>
        <w:t xml:space="preserve">актов: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 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31.07.2020 № 248-ФЗ «О государственном контроле (надзоре) и муниципальном контроле в Российской Федерации»;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>
        <w:rPr>
          <w:rFonts w:ascii="Times New Roman" w:hAnsi="Times New Roman" w:cs="Times New Roman"/>
          <w:sz w:val="27"/>
          <w:szCs w:val="27"/>
        </w:rPr>
        <w:t xml:space="preserve">Постановление Правительства Пензенской области от 23.12.2021 № 903-пП «Об утверждении Положения о региональном государствен</w:t>
      </w:r>
      <w:r>
        <w:rPr>
          <w:rFonts w:ascii="Times New Roman" w:hAnsi="Times New Roman" w:cs="Times New Roman"/>
          <w:sz w:val="27"/>
          <w:szCs w:val="27"/>
        </w:rPr>
        <w:t xml:space="preserve">ном контроле (надзоре) в области долевого строительства многоквартирных домов и (или) иных объектов недвижимости, а также о региональном государственном контроле (надзоре) за деятельностью жилищно-строительных кооперативов, связанной с привлечением средств</w:t>
      </w:r>
      <w:r>
        <w:rPr>
          <w:rFonts w:ascii="Times New Roman" w:hAnsi="Times New Roman" w:cs="Times New Roman"/>
          <w:sz w:val="27"/>
          <w:szCs w:val="27"/>
        </w:rPr>
        <w:t xml:space="preserve"> членов кооперативов для строительства многоквартирных домов на территории Пензенской области»;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Гражданский кодекс Российской Федерации от 03.11.1994 № 51-ФЗ;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Жилищный кодекс Российской Федерации от 29.12.2004 № 188-ФЗ;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Кодекс Российской Федерации об</w:t>
      </w:r>
      <w:r>
        <w:rPr>
          <w:rFonts w:ascii="Times New Roman" w:hAnsi="Times New Roman" w:cs="Times New Roman"/>
          <w:sz w:val="27"/>
          <w:szCs w:val="27"/>
        </w:rPr>
        <w:t xml:space="preserve"> административных правонарушениях от 30.12.2001 № 195-ФЗ;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29.07.2017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</w:t>
      </w:r>
      <w:r>
        <w:rPr>
          <w:rFonts w:ascii="Times New Roman" w:hAnsi="Times New Roman" w:cs="Times New Roman"/>
          <w:sz w:val="27"/>
          <w:szCs w:val="27"/>
        </w:rPr>
        <w:t xml:space="preserve">нений в отдельные законодательные акты Российской Федерации»;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26.10.2002 № 127-ФЗ «О несостоятельности (банкротстве)»;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02.05.2006 № 59-ФЗ «О порядке рассмотрения обращений граждан Российской Федерации»;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</w:t>
      </w:r>
      <w:r>
        <w:rPr>
          <w:rFonts w:ascii="Times New Roman" w:hAnsi="Times New Roman" w:cs="Times New Roman"/>
          <w:sz w:val="27"/>
          <w:szCs w:val="27"/>
        </w:rPr>
        <w:t xml:space="preserve">альный закон от 01.12.2007 № 315-ФЗ «О саморегулируемых организациях»;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24.07.2008 № 161-ФЗ «О содействии развитию жилищного строительства»;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27.07.2010 № 210-ФЗ «Об организации предоставления государственных и муниципальных услуг»;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Федеральный закон от 31.07.2020 № 247-ФЗ «Об обязательных требованиях в Российской Федерации»;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Постановление Правительства РФ от 26.03.201</w:t>
      </w:r>
      <w:r>
        <w:rPr>
          <w:rFonts w:ascii="Times New Roman" w:hAnsi="Times New Roman" w:cs="Times New Roman"/>
          <w:sz w:val="27"/>
          <w:szCs w:val="27"/>
        </w:rPr>
        <w:t xml:space="preserve">9 № 319 «О единой информационной системе жилищного строительства»;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Приказ Минстроя России от 12.10.2018 № 656/</w:t>
      </w:r>
      <w:r>
        <w:rPr>
          <w:rFonts w:ascii="Times New Roman" w:hAnsi="Times New Roman" w:cs="Times New Roman"/>
          <w:sz w:val="27"/>
          <w:szCs w:val="27"/>
        </w:rPr>
        <w:t xml:space="preserve">пр</w:t>
      </w:r>
      <w:r>
        <w:rPr>
          <w:rFonts w:ascii="Times New Roman" w:hAnsi="Times New Roman" w:cs="Times New Roman"/>
          <w:sz w:val="27"/>
          <w:szCs w:val="27"/>
        </w:rPr>
        <w:t xml:space="preserve"> «Об утверждении формы и порядка предоставления застройщиками в контролирующий орган отчетности об осуществлении деятельности, связанной с при</w:t>
      </w:r>
      <w:r>
        <w:rPr>
          <w:rFonts w:ascii="Times New Roman" w:hAnsi="Times New Roman" w:cs="Times New Roman"/>
          <w:sz w:val="27"/>
          <w:szCs w:val="27"/>
        </w:rPr>
        <w:t xml:space="preserve">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</w:t>
      </w:r>
      <w:r>
        <w:rPr>
          <w:rFonts w:ascii="Times New Roman" w:hAnsi="Times New Roman" w:cs="Times New Roman"/>
          <w:sz w:val="27"/>
          <w:szCs w:val="27"/>
        </w:rPr>
        <w:t xml:space="preserve">орам, сводной накопительной ведомости проекта строительства»;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Приказ Минстроя России от 04.04.2022 № 239/</w:t>
      </w:r>
      <w:r>
        <w:rPr>
          <w:rFonts w:ascii="Times New Roman" w:hAnsi="Times New Roman" w:cs="Times New Roman"/>
          <w:sz w:val="27"/>
          <w:szCs w:val="27"/>
        </w:rPr>
        <w:t xml:space="preserve">пр</w:t>
      </w:r>
      <w:r>
        <w:rPr>
          <w:rFonts w:ascii="Times New Roman" w:hAnsi="Times New Roman" w:cs="Times New Roman"/>
          <w:sz w:val="27"/>
          <w:szCs w:val="27"/>
        </w:rPr>
        <w:t xml:space="preserve"> «Об утверждении формы проектной декларации»;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Приказ Минэкономразвития России от 31.03.2021 № 151 «О типовых формах документов, используемых конт</w:t>
      </w:r>
      <w:r>
        <w:rPr>
          <w:rFonts w:ascii="Times New Roman" w:hAnsi="Times New Roman" w:cs="Times New Roman"/>
          <w:sz w:val="27"/>
          <w:szCs w:val="27"/>
        </w:rPr>
        <w:t xml:space="preserve">рольным (надзорным) органом»;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Закон Пензенской области Пензенской области от 31.08.2017 № 3069-ЗПО «О мерах государственной поддержки граждан, пострадавших от действий (бездействия) застройщиков, привлекавших денежные средства граждан на строительство (с</w:t>
      </w:r>
      <w:r>
        <w:rPr>
          <w:rFonts w:ascii="Times New Roman" w:hAnsi="Times New Roman" w:cs="Times New Roman"/>
          <w:sz w:val="27"/>
          <w:szCs w:val="27"/>
        </w:rPr>
        <w:t xml:space="preserve">оздание) многоквартирных домов на территории Пензенской области»;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Постановление Правительства Пензенской области от 20.01.2022 № 29-пП «Об утверждении Положения о Министерстве градостроительства и архитектуры Пензенской области»;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Постановление Правител</w:t>
      </w:r>
      <w:r>
        <w:rPr>
          <w:rFonts w:ascii="Times New Roman" w:hAnsi="Times New Roman" w:cs="Times New Roman"/>
          <w:sz w:val="27"/>
          <w:szCs w:val="27"/>
        </w:rPr>
        <w:t xml:space="preserve">ьства Пензенской области от 24.01.2012 № 30-пП «Об утверждении Реестра государственных услуг Пензенской области»;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Постановление Правительства Пензенской области от 24.07.2018 № 372-пП «Об утверждении Порядка предоставления ежемесячной денежной выплаты за</w:t>
      </w:r>
      <w:r>
        <w:rPr>
          <w:rFonts w:ascii="Times New Roman" w:hAnsi="Times New Roman" w:cs="Times New Roman"/>
          <w:sz w:val="27"/>
          <w:szCs w:val="27"/>
        </w:rPr>
        <w:t xml:space="preserve"> наем (поднаем) жилого помещения пострадавшим участникам долевого строительства»;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- федеральные конституционные законы, федеральные законы и иные нормативные правовые акты Российской Федерации, законы и иные нормативные правовые акты Пензенской области, со</w:t>
      </w:r>
      <w:r>
        <w:rPr>
          <w:rFonts w:ascii="Times New Roman" w:hAnsi="Times New Roman" w:cs="Times New Roman"/>
          <w:sz w:val="27"/>
          <w:szCs w:val="27"/>
        </w:rPr>
        <w:t xml:space="preserve">ответствующие направлениям деятельности Министерства, применительно к исполнению должностных обязанностей.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</w:rPr>
        <w:t xml:space="preserve">На территории Пензенской области жилищно-строительными кооперативами не осуществляется деятельность, связанная с привлечением средств членов кооперат</w:t>
      </w:r>
      <w:r>
        <w:rPr>
          <w:rFonts w:ascii="Times New Roman" w:hAnsi="Times New Roman" w:cs="Times New Roman"/>
          <w:sz w:val="27"/>
          <w:szCs w:val="27"/>
        </w:rPr>
        <w:t xml:space="preserve">ива для строительства многоквартирного дома, в </w:t>
      </w:r>
      <w:r>
        <w:rPr>
          <w:rFonts w:ascii="Times New Roman" w:hAnsi="Times New Roman" w:cs="Times New Roman"/>
          <w:sz w:val="27"/>
          <w:szCs w:val="27"/>
        </w:rPr>
        <w:t xml:space="preserve">связи</w:t>
      </w:r>
      <w:r>
        <w:rPr>
          <w:rFonts w:ascii="Times New Roman" w:hAnsi="Times New Roman" w:cs="Times New Roman"/>
          <w:sz w:val="27"/>
          <w:szCs w:val="27"/>
        </w:rPr>
        <w:t xml:space="preserve"> с чем объекты 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</w:t>
      </w:r>
      <w:r>
        <w:rPr>
          <w:rFonts w:ascii="Times New Roman" w:hAnsi="Times New Roman" w:cs="Times New Roman"/>
          <w:sz w:val="27"/>
          <w:szCs w:val="27"/>
        </w:rPr>
        <w:t xml:space="preserve">дома, отсутствуют.  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В 2022 г. государственный контроль (надзор) в области долевого строительства многоквартирных домов и (или) иных объектов недвижимости, а также за деятельностью жилищно-строительных кооперативов, связанной со строительством многоква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ртирных домов, на территории Пензенской области проводился с учетом особенностей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, установленных постановлением Правительства РФ № 336  «Об особенностях организации и осуществления государственного контроля (надзора), муниципального контроля».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Д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окументом определены исключительные основания проведения в 2022 году внеплановых контрольных мероприятий и проверок, в числе которых непосредственная угроза причинения вреда жизни и тяжкого вреда здоровью граждан, непосредственная угроза обороне страны и б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езопасности государства и непосредственная угроза возникновения чрезвычайных ситуаций природного и (или) техногенного характера.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Кроме того, П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остановлением Правительства РФ от 26.03.2022 № 479 «Об установлении особенностей применения неустойки (штрафа, пени), иных финансовых санкций, а также других мер ответственности за неисполнение или ненадлежащее исполнение обязательств по договорам участия 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в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 долевом строительстве, установленных законодательством о долевом строительстве, и об особенностях включения в единый реестр проблемных объектов многоквартирных домов и (или) иных объектов недвижимости, в отношении которых застройщиком более чем на 6 месяц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е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с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троительстве» предусмотрен мораторий до 01.01.2023 в отношении финансовых санкций к застройщику по претензиям, возникшим до даты вступления в силу постановления. В соответствии с Федеральным законом от 30.12.2004 № 214-ФЗ включение в ЕРПО многоквартирных д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омов и прочих объектов осуществляется в случае нарушения срока передачи объектов более чем на 6 месяцев. Постановлением был предусмотрен мораторий на включение в ЕРПО со дня вступления в силу постановления до 01.01.2023.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Региональный государственный контроль (надзор) в области долевого строительства многоквартирных домов и (или) иных объектов недвижимости Министерством осуществляется за 38 организациями-застройщиками, привлекающими денежные средства гр</w:t>
      </w:r>
      <w:r>
        <w:rPr>
          <w:rFonts w:ascii="Times New Roman" w:hAnsi="Times New Roman" w:cs="Times New Roman"/>
          <w:sz w:val="27"/>
          <w:szCs w:val="27"/>
        </w:rPr>
        <w:t xml:space="preserve">аждан и юридических лиц в соответствии с Федеральным законом № 214-ФЗ для строительства 70 МКД. 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Согласно информации, размещаемой застройщиками в проектных декларациях в соответствии с требованиями ч. 4.1 ст. 19 Федерального закона № 214-ФЗ, по состоянию н</w:t>
      </w:r>
      <w:r>
        <w:rPr>
          <w:rFonts w:ascii="Times New Roman" w:hAnsi="Times New Roman" w:cs="Times New Roman"/>
          <w:sz w:val="27"/>
          <w:szCs w:val="27"/>
        </w:rPr>
        <w:t xml:space="preserve">а 31.12.2022 у застройщиков имелись неисполненные обязательства по 8 141 договорам участия в долевом строительстве в строящихся многоквартирных домах (не введенных в эксплуатацию до настоящего времени) на сумму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sz w:val="27"/>
          <w:szCs w:val="27"/>
        </w:rPr>
        <w:t xml:space="preserve">28,045 </w:t>
      </w:r>
      <w:r>
        <w:rPr>
          <w:rFonts w:ascii="Times New Roman" w:hAnsi="Times New Roman" w:cs="Times New Roman"/>
          <w:sz w:val="27"/>
          <w:szCs w:val="27"/>
        </w:rPr>
        <w:t xml:space="preserve">млрд. руб.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В ходе реализации функции п</w:t>
      </w:r>
      <w:r>
        <w:rPr>
          <w:rFonts w:ascii="Times New Roman" w:hAnsi="Times New Roman" w:cs="Times New Roman"/>
          <w:sz w:val="27"/>
          <w:szCs w:val="27"/>
        </w:rPr>
        <w:t xml:space="preserve">о осуществлению государственного контроля (надзора) в области долевого строительства </w:t>
      </w:r>
      <w:r>
        <w:rPr>
          <w:rFonts w:ascii="Times New Roman" w:hAnsi="Times New Roman" w:cs="Times New Roman"/>
          <w:sz w:val="27"/>
          <w:szCs w:val="27"/>
        </w:rPr>
        <w:t xml:space="preserve">Министерством </w:t>
      </w:r>
      <w:r>
        <w:rPr>
          <w:rFonts w:ascii="Times New Roman" w:hAnsi="Times New Roman" w:cs="Times New Roman"/>
          <w:sz w:val="27"/>
          <w:szCs w:val="27"/>
        </w:rPr>
        <w:t xml:space="preserve">проведена 1 внеплановая проверка, а также 18 наблюдений за соблюдением обязательных требований, по результатам которых выявлено 6 нарушений и составлено 6 пр</w:t>
      </w:r>
      <w:r>
        <w:rPr>
          <w:rFonts w:ascii="Times New Roman" w:hAnsi="Times New Roman" w:cs="Times New Roman"/>
          <w:sz w:val="27"/>
          <w:szCs w:val="27"/>
        </w:rPr>
        <w:t xml:space="preserve">отоколов об административных правонарушениях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. 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Наиболее часто встречающиеся нарушения: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1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highlight w:val="white"/>
        </w:rPr>
        <w:t xml:space="preserve">) нарушение размещения и опубликования проектной декларации и вносимых в нее изменений (ч. 2 ст. 14.28 КоАП РФ); 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2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highlight w:val="white"/>
        </w:rPr>
        <w:t xml:space="preserve">) нарушение порядка размещения информации в информационной системе жилищного строительства (ч. 1 ст. 13.19.3 КоАП РФ)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.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О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highlight w:val="white"/>
        </w:rPr>
        <w:t xml:space="preserve">сновными причинами нарушений обязательных требований законодательства о долевом строительстве являются экономические и юридические условия. Юридическими причинами выступают несовершенство законодательства, изменения, вносимые в действующее законодательство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  <w:highlight w:val="white"/>
        </w:rPr>
        <w:t xml:space="preserve">, низкий уровень правовой культуры. К экономическим причинам относятся трудности, возникающие с финансовым обеспечением проектов строительства жилых многоквартирных домов</w:t>
      </w:r>
      <w:r>
        <w:rPr>
          <w:rFonts w:ascii="Times New Roman" w:hAnsi="Times New Roman" w:cs="Times New Roman" w:eastAsia="Times New Roman"/>
          <w:color w:val="000000" w:themeColor="text1"/>
          <w:sz w:val="27"/>
          <w:szCs w:val="27"/>
        </w:rPr>
        <w:t xml:space="preserve">.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В целях предупреждения правонарушений Министерством, как контролирующим органом, про</w:t>
      </w:r>
      <w:r>
        <w:rPr>
          <w:rFonts w:ascii="Times New Roman" w:hAnsi="Times New Roman" w:cs="Times New Roman"/>
          <w:sz w:val="27"/>
          <w:szCs w:val="27"/>
        </w:rPr>
        <w:t xml:space="preserve">водятся мероприятия по недопущению нарушений законодательства в сфере долевого строительства путем информирования застройщиков по вопросам соблюдения обязательных требований посредством опубликования на официальном сайте Министерства новостей, связанных с </w:t>
      </w:r>
      <w:r>
        <w:rPr>
          <w:rFonts w:ascii="Times New Roman" w:hAnsi="Times New Roman" w:cs="Times New Roman"/>
          <w:sz w:val="27"/>
          <w:szCs w:val="27"/>
        </w:rPr>
        <w:t xml:space="preserve">разъяснениями норм законодательства в области долевого строительства. На официальном сайте Министерства публикуются информационно-аналитические сведения об изменениях, внесенных в Федеральный закон № 214-ФЗ, а также обзор практики осуществления регионально</w:t>
      </w:r>
      <w:r>
        <w:rPr>
          <w:rFonts w:ascii="Times New Roman" w:hAnsi="Times New Roman" w:cs="Times New Roman"/>
          <w:sz w:val="27"/>
          <w:szCs w:val="27"/>
        </w:rPr>
        <w:t xml:space="preserve">го государственного контроля и надзора в области долевого строительства. </w:t>
      </w:r>
      <w:r>
        <w:rPr>
          <w:sz w:val="27"/>
          <w:szCs w:val="27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Также профилактика нарушений обязательных требований осуществляется путем выдачи предостережений о недопустимости нарушения обязательных требований в соответствии с Федеральным закон</w:t>
      </w:r>
      <w:r>
        <w:rPr>
          <w:rFonts w:ascii="Times New Roman" w:hAnsi="Times New Roman" w:cs="Times New Roman"/>
          <w:sz w:val="27"/>
          <w:szCs w:val="27"/>
        </w:rPr>
        <w:t xml:space="preserve">ом № 248-ФЗ «О государственном контроле (надзоре) и муниципальном контроле в Российской Федерации». В 2022 г. Министерством выдано 8 предостережений.  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ascii="Times New Roman" w:hAnsi="Times New Roman" w:cs="Times New Roman" w:eastAsia="Times New Roman"/>
          <w:sz w:val="27"/>
          <w:szCs w:val="27"/>
        </w:rPr>
        <w:t xml:space="preserve">Работа контрольного (надзорного) органа в сфере долевого строительства ориентирована на своевременное вы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явление проблем у организаций-застройщиков и недопущение появления новых обманутых дольщиков.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 Министерством на постоянной основе осуществляется мониторинг деятельности застройщиков на предмет соблюдения законодательства в сфере долевого строительства, в то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м числе мониторинг сроков ввода объектов в эксплуатацию и передачи их участникам долевого строительства. Вопросы завершения строительства объектов, входящих в зону риска, находятся на особом контроле, а также выносятся на рассмотрение на заседаниях рабочих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 гру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пп с пр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авоохранительными органами.</w:t>
      </w:r>
      <w:r>
        <w:rPr>
          <w:rFonts w:ascii="Times New Roman" w:hAnsi="Times New Roman" w:cs="Times New Roman"/>
          <w:szCs w:val="27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7"/>
          <w:szCs w:val="27"/>
        </w:rPr>
        <w:t xml:space="preserve">По результатам проделанной работы в 2019-2022 гг. завершено строительством и введено в эксплуатацию 8 проблемных объектов, выплачена компенсация по 4 проблемным объектам.</w:t>
      </w:r>
      <w:r>
        <w:rPr>
          <w:sz w:val="27"/>
          <w:szCs w:val="27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7"/>
          <w:szCs w:val="27"/>
        </w:rPr>
        <w:t xml:space="preserve">Наблюдательным советом ППК «Фонд развития терр</w:t>
      </w:r>
      <w:r>
        <w:rPr>
          <w:rFonts w:ascii="Times New Roman" w:hAnsi="Times New Roman"/>
          <w:sz w:val="27"/>
          <w:szCs w:val="27"/>
        </w:rPr>
        <w:t xml:space="preserve">иторий» 30.11.2021 принято решение о выплате компенсаций пострадавшим гражданам-участникам долевого строительства многоквартирного жилого дома №14 по адресу: г. Пенза, ул. </w:t>
      </w:r>
      <w:r>
        <w:rPr>
          <w:rFonts w:ascii="Times New Roman" w:hAnsi="Times New Roman"/>
          <w:sz w:val="27"/>
          <w:szCs w:val="27"/>
        </w:rPr>
        <w:t xml:space="preserve">Кижеватова</w:t>
      </w:r>
      <w:r>
        <w:rPr>
          <w:rFonts w:ascii="Times New Roman" w:hAnsi="Times New Roman"/>
          <w:sz w:val="27"/>
          <w:szCs w:val="27"/>
        </w:rPr>
        <w:t xml:space="preserve">, застройщиком которого являлось ООО «Север-Траст». В настоящее время комп</w:t>
      </w:r>
      <w:r>
        <w:rPr>
          <w:rFonts w:ascii="Times New Roman" w:hAnsi="Times New Roman"/>
          <w:sz w:val="27"/>
          <w:szCs w:val="27"/>
        </w:rPr>
        <w:t xml:space="preserve">енсация выплачена 92 участникам долевого строительства. Объект исключен из Единого реестра проблемных объектов (далее - ЕРПО) 30.12.2022 на основании п. 2 ч. 1.4 ст. 23.1 Федерального закона от 30.12.2004 № 214-ФЗ «Об участии в долевом строительстве многок</w:t>
      </w:r>
      <w:r>
        <w:rPr>
          <w:rFonts w:ascii="Times New Roman" w:hAnsi="Times New Roman"/>
          <w:sz w:val="27"/>
          <w:szCs w:val="27"/>
        </w:rPr>
        <w:t xml:space="preserve">вартирных домов и иных объектов недвижимости и о внесении изменений в некоторые законодательные акты Российской Федерации» (далее - Федеральный закон № 214-ФЗ).</w:t>
      </w:r>
      <w:r>
        <w:rPr>
          <w:sz w:val="27"/>
          <w:szCs w:val="27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7"/>
          <w:szCs w:val="27"/>
        </w:rPr>
        <w:t xml:space="preserve">Объект незавершенного строительства по адресу: Пензенская обл., г. Заречный, ул. </w:t>
      </w:r>
      <w:r>
        <w:rPr>
          <w:rFonts w:ascii="Times New Roman" w:hAnsi="Times New Roman"/>
          <w:sz w:val="27"/>
          <w:szCs w:val="27"/>
        </w:rPr>
        <w:t xml:space="preserve">Озёрская</w:t>
      </w:r>
      <w:r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мкр</w:t>
      </w:r>
      <w:r>
        <w:rPr>
          <w:rFonts w:ascii="Times New Roman" w:hAnsi="Times New Roman"/>
          <w:sz w:val="27"/>
          <w:szCs w:val="27"/>
        </w:rPr>
        <w:t xml:space="preserve">.</w:t>
      </w:r>
      <w:r>
        <w:rPr>
          <w:rFonts w:ascii="Times New Roman" w:hAnsi="Times New Roman"/>
          <w:sz w:val="27"/>
          <w:szCs w:val="27"/>
        </w:rPr>
        <w:t xml:space="preserve"> 18, д. 20, </w:t>
      </w:r>
      <w:r>
        <w:rPr>
          <w:rFonts w:ascii="Times New Roman" w:hAnsi="Times New Roman"/>
          <w:sz w:val="27"/>
          <w:szCs w:val="27"/>
        </w:rPr>
        <w:t xml:space="preserve">застройщиком</w:t>
      </w:r>
      <w:r>
        <w:rPr>
          <w:rFonts w:ascii="Times New Roman" w:hAnsi="Times New Roman"/>
          <w:sz w:val="27"/>
          <w:szCs w:val="27"/>
        </w:rPr>
        <w:t xml:space="preserve"> которого являлся МП «РСК», исключен из ЕРПО 29.11.2022 на основании п. 4 ч. 1.4 ст. 23.1 Федерального закона № 214-ФЗ. </w:t>
      </w:r>
      <w:r>
        <w:rPr>
          <w:sz w:val="27"/>
          <w:szCs w:val="27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7"/>
          <w:szCs w:val="27"/>
        </w:rPr>
        <w:t xml:space="preserve">Таким образом, в 2022 г. из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 ЕРПО исключены все объекты Пензенской области, проблемные объекты на территории рег</w:t>
      </w:r>
      <w:r>
        <w:rPr>
          <w:rFonts w:ascii="Times New Roman" w:hAnsi="Times New Roman" w:cs="Times New Roman" w:eastAsia="Times New Roman"/>
          <w:sz w:val="27"/>
          <w:szCs w:val="27"/>
        </w:rPr>
        <w:t xml:space="preserve">иона отсутствуют.</w:t>
      </w:r>
      <w:r>
        <w:rPr>
          <w:rFonts w:ascii="Times New Roman" w:hAnsi="Times New Roman" w:cs="Times New Roman" w:eastAsia="Times New Roman"/>
          <w:sz w:val="27"/>
          <w:szCs w:val="27"/>
        </w:rPr>
        <w:tab/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В целях предупреждения нарушений контролируемыми лицами обязательных требований разработано Руководство по соблюдению обязательных требований, утвержденное приказом Министерства от 31.03.2022 № 48/оп «Об утверждении руководства по соблюд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ению обязательных требований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недвижимости, а также регионального государственного контроля (надзора) за деятель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ностью жилищно-строительных кооперативов, связанной с привлечением средств членов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 кооперативов для строительства многоквартирного дома на территории Пензенской области».</w:t>
      </w:r>
      <w:r>
        <w:rPr>
          <w:rFonts w:ascii="Times New Roman" w:hAnsi="Times New Roman" w:cs="Times New Roman"/>
          <w:szCs w:val="27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На официальном сайте контрольного (надзорного) органа размещены положения нормативных правовых актов, содержащих обязательные требования, соблюдение которых оценивается при осуществлении регионального государственного контроля (надзора) 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в области долевого строительства многоквартирных домов и (или) иных объектов недвижимости, а также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я строительства многоквартирного дома на территории Пензенской области</w:t>
      </w:r>
      <w:r>
        <w:rPr>
          <w:rFonts w:ascii="Times New Roman" w:hAnsi="Times New Roman" w:cs="Times New Roman" w:eastAsia="Times New Roman"/>
          <w:sz w:val="27"/>
          <w:szCs w:val="27"/>
          <w:lang w:eastAsia="ru-RU"/>
        </w:rPr>
        <w:t xml:space="preserve">.</w:t>
      </w:r>
      <w:r>
        <w:rPr>
          <w:rFonts w:ascii="Times New Roman" w:hAnsi="Times New Roman" w:cs="Times New Roman"/>
          <w:color w:val="000000"/>
          <w:sz w:val="27"/>
        </w:rPr>
      </w:r>
      <w:r/>
    </w:p>
    <w:p>
      <w:pPr>
        <w:ind w:firstLine="567"/>
        <w:jc w:val="both"/>
        <w:rPr>
          <w:sz w:val="27"/>
          <w:szCs w:val="4"/>
        </w:rPr>
      </w:pPr>
      <w:r>
        <w:rPr>
          <w:sz w:val="27"/>
          <w:szCs w:val="4"/>
        </w:rPr>
      </w:r>
      <w:r/>
    </w:p>
    <w:p>
      <w:pPr>
        <w:ind w:firstLine="567"/>
        <w:jc w:val="both"/>
        <w:rPr>
          <w:sz w:val="27"/>
        </w:rPr>
      </w:pPr>
      <w:r>
        <w:rPr>
          <w:sz w:val="27"/>
        </w:rPr>
      </w:r>
      <w:r/>
    </w:p>
    <w:p>
      <w:pPr>
        <w:ind w:firstLine="567"/>
        <w:jc w:val="both"/>
        <w:rPr>
          <w:sz w:val="27"/>
          <w:highlight w:val="white"/>
        </w:rPr>
      </w:pPr>
      <w:r>
        <w:rPr>
          <w:sz w:val="27"/>
          <w:highlight w:val="white"/>
        </w:rPr>
      </w:r>
      <w:r/>
    </w:p>
    <w:p>
      <w:pPr>
        <w:ind w:firstLine="567"/>
        <w:jc w:val="both"/>
        <w:rPr>
          <w:sz w:val="27"/>
        </w:rPr>
      </w:pPr>
      <w:r>
        <w:rPr>
          <w:sz w:val="27"/>
        </w:rPr>
      </w:r>
      <w:r/>
    </w:p>
    <w:p>
      <w:pPr>
        <w:ind w:firstLine="567"/>
        <w:jc w:val="both"/>
        <w:rPr>
          <w:sz w:val="27"/>
        </w:rPr>
      </w:pPr>
      <w:r>
        <w:rPr>
          <w:sz w:val="27"/>
        </w:rPr>
      </w:r>
      <w:r/>
    </w:p>
    <w:p>
      <w:pPr>
        <w:ind w:firstLine="567"/>
        <w:jc w:val="both"/>
        <w:rPr>
          <w:sz w:val="27"/>
        </w:rPr>
      </w:pPr>
      <w:r>
        <w:rPr>
          <w:sz w:val="27"/>
        </w:rPr>
      </w:r>
      <w:r/>
    </w:p>
    <w:p>
      <w:pPr>
        <w:contextualSpacing/>
        <w:ind w:firstLine="709"/>
        <w:jc w:val="both"/>
        <w:rPr>
          <w:sz w:val="27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8"/>
        </w:rPr>
      </w:r>
      <w:r/>
    </w:p>
    <w:sectPr>
      <w:footnotePr>
        <w:numRestart w:val="eachPage"/>
      </w:footnotePr>
      <w:endnotePr>
        <w:numFmt w:val="decimal"/>
      </w:endnotePr>
      <w:type w:val="nextPage"/>
      <w:pgSz w:w="11907" w:h="16840" w:orient="portrait"/>
      <w:pgMar w:top="1134" w:right="851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3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3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3"/>
  </w:num>
  <w:num w:numId="9">
    <w:abstractNumId w:val="14"/>
  </w:num>
  <w:num w:numId="10">
    <w:abstractNumId w:val="0"/>
  </w:num>
  <w:num w:numId="11">
    <w:abstractNumId w:val="16"/>
  </w:num>
  <w:num w:numId="12">
    <w:abstractNumId w:val="13"/>
  </w:num>
  <w:num w:numId="13">
    <w:abstractNumId w:val="5"/>
  </w:num>
  <w:num w:numId="14">
    <w:abstractNumId w:val="6"/>
  </w:num>
  <w:num w:numId="15">
    <w:abstractNumId w:val="15"/>
  </w:num>
  <w:num w:numId="16">
    <w:abstractNumId w:val="4"/>
  </w:num>
  <w:num w:numId="17">
    <w:abstractNumId w:val="10"/>
  </w:num>
  <w:num w:numId="18">
    <w:abstractNumId w:val="1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696"/>
    <w:link w:val="687"/>
    <w:uiPriority w:val="9"/>
    <w:rPr>
      <w:rFonts w:ascii="Arial" w:hAnsi="Arial" w:cs="Arial" w:eastAsia="Arial"/>
      <w:sz w:val="40"/>
      <w:szCs w:val="40"/>
    </w:rPr>
  </w:style>
  <w:style w:type="character" w:styleId="674">
    <w:name w:val="Heading 2 Char"/>
    <w:basedOn w:val="696"/>
    <w:link w:val="688"/>
    <w:uiPriority w:val="9"/>
    <w:rPr>
      <w:rFonts w:ascii="Arial" w:hAnsi="Arial" w:cs="Arial" w:eastAsia="Arial"/>
      <w:sz w:val="34"/>
    </w:rPr>
  </w:style>
  <w:style w:type="character" w:styleId="675">
    <w:name w:val="Heading 4 Char"/>
    <w:basedOn w:val="696"/>
    <w:link w:val="690"/>
    <w:uiPriority w:val="9"/>
    <w:rPr>
      <w:rFonts w:ascii="Arial" w:hAnsi="Arial" w:cs="Arial" w:eastAsia="Arial"/>
      <w:b/>
      <w:bCs/>
      <w:sz w:val="26"/>
      <w:szCs w:val="26"/>
    </w:rPr>
  </w:style>
  <w:style w:type="character" w:styleId="676">
    <w:name w:val="Heading 5 Char"/>
    <w:basedOn w:val="696"/>
    <w:link w:val="691"/>
    <w:uiPriority w:val="9"/>
    <w:rPr>
      <w:rFonts w:ascii="Arial" w:hAnsi="Arial" w:cs="Arial" w:eastAsia="Arial"/>
      <w:b/>
      <w:bCs/>
      <w:sz w:val="24"/>
      <w:szCs w:val="24"/>
    </w:rPr>
  </w:style>
  <w:style w:type="character" w:styleId="677">
    <w:name w:val="Heading 6 Char"/>
    <w:basedOn w:val="696"/>
    <w:link w:val="692"/>
    <w:uiPriority w:val="9"/>
    <w:rPr>
      <w:rFonts w:ascii="Arial" w:hAnsi="Arial" w:cs="Arial" w:eastAsia="Arial"/>
      <w:b/>
      <w:bCs/>
      <w:sz w:val="22"/>
      <w:szCs w:val="22"/>
    </w:rPr>
  </w:style>
  <w:style w:type="character" w:styleId="678">
    <w:name w:val="Heading 7 Char"/>
    <w:basedOn w:val="696"/>
    <w:link w:val="6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9">
    <w:name w:val="Heading 8 Char"/>
    <w:basedOn w:val="696"/>
    <w:link w:val="694"/>
    <w:uiPriority w:val="9"/>
    <w:rPr>
      <w:rFonts w:ascii="Arial" w:hAnsi="Arial" w:cs="Arial" w:eastAsia="Arial"/>
      <w:i/>
      <w:iCs/>
      <w:sz w:val="22"/>
      <w:szCs w:val="22"/>
    </w:rPr>
  </w:style>
  <w:style w:type="character" w:styleId="680">
    <w:name w:val="Heading 9 Char"/>
    <w:basedOn w:val="696"/>
    <w:link w:val="695"/>
    <w:uiPriority w:val="9"/>
    <w:rPr>
      <w:rFonts w:ascii="Arial" w:hAnsi="Arial" w:cs="Arial" w:eastAsia="Arial"/>
      <w:i/>
      <w:iCs/>
      <w:sz w:val="21"/>
      <w:szCs w:val="21"/>
    </w:rPr>
  </w:style>
  <w:style w:type="character" w:styleId="681">
    <w:name w:val="Title Char"/>
    <w:basedOn w:val="696"/>
    <w:link w:val="709"/>
    <w:uiPriority w:val="10"/>
    <w:rPr>
      <w:sz w:val="48"/>
      <w:szCs w:val="48"/>
    </w:rPr>
  </w:style>
  <w:style w:type="character" w:styleId="682">
    <w:name w:val="Subtitle Char"/>
    <w:basedOn w:val="696"/>
    <w:link w:val="711"/>
    <w:uiPriority w:val="11"/>
    <w:rPr>
      <w:sz w:val="24"/>
      <w:szCs w:val="24"/>
    </w:rPr>
  </w:style>
  <w:style w:type="character" w:styleId="683">
    <w:name w:val="Quote Char"/>
    <w:link w:val="713"/>
    <w:uiPriority w:val="29"/>
    <w:rPr>
      <w:i/>
    </w:rPr>
  </w:style>
  <w:style w:type="character" w:styleId="684">
    <w:name w:val="Intense Quote Char"/>
    <w:link w:val="715"/>
    <w:uiPriority w:val="30"/>
    <w:rPr>
      <w:i/>
    </w:rPr>
  </w:style>
  <w:style w:type="character" w:styleId="685">
    <w:name w:val="Endnote Text Char"/>
    <w:link w:val="847"/>
    <w:uiPriority w:val="99"/>
    <w:rPr>
      <w:sz w:val="20"/>
    </w:rPr>
  </w:style>
  <w:style w:type="paragraph" w:styleId="686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687">
    <w:name w:val="Heading 1"/>
    <w:basedOn w:val="686"/>
    <w:next w:val="68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89">
    <w:name w:val="Heading 3"/>
    <w:basedOn w:val="686"/>
    <w:next w:val="686"/>
    <w:link w:val="861"/>
    <w:unhideWhenUsed/>
    <w:qFormat/>
    <w:pPr>
      <w:jc w:val="center"/>
      <w:keepNext/>
      <w:outlineLvl w:val="2"/>
    </w:pPr>
    <w:rPr>
      <w:b/>
      <w:sz w:val="4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cs="Arial" w:eastAsia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cs="Arial" w:eastAsia="Arial"/>
      <w:sz w:val="34"/>
    </w:rPr>
  </w:style>
  <w:style w:type="character" w:styleId="701" w:customStyle="1">
    <w:name w:val="Heading 3 Char"/>
    <w:basedOn w:val="696"/>
    <w:uiPriority w:val="9"/>
    <w:rPr>
      <w:rFonts w:ascii="Arial" w:hAnsi="Arial" w:cs="Arial" w:eastAsia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cs="Arial" w:eastAsia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cs="Arial" w:eastAsia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cs="Arial" w:eastAsia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cs="Arial" w:eastAsia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cs="Arial" w:eastAsia="Arial"/>
      <w:i/>
      <w:iCs/>
      <w:sz w:val="21"/>
      <w:szCs w:val="21"/>
    </w:rPr>
  </w:style>
  <w:style w:type="paragraph" w:styleId="708">
    <w:name w:val="No Spacing"/>
    <w:uiPriority w:val="1"/>
    <w:qFormat/>
    <w:pPr>
      <w:spacing w:after="0" w:line="240" w:lineRule="auto"/>
    </w:pPr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paragraph" w:styleId="719">
    <w:name w:val="Caption"/>
    <w:basedOn w:val="686"/>
    <w:next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 w:customStyle="1">
    <w:name w:val="Caption Char"/>
    <w:uiPriority w:val="99"/>
  </w:style>
  <w:style w:type="table" w:styleId="721" w:customStyle="1">
    <w:name w:val="Table Grid Light"/>
    <w:basedOn w:val="69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9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ffffff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ffffff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ffffff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ffffff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ffffff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fffff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26" w:customStyle="1">
    <w:name w:val="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27" w:customStyle="1">
    <w:name w:val="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28" w:customStyle="1">
    <w:name w:val="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29" w:customStyle="1">
    <w:name w:val="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30" w:customStyle="1">
    <w:name w:val="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</w:style>
  <w:style w:type="table" w:styleId="831" w:customStyle="1">
    <w:name w:val="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</w:style>
  <w:style w:type="table" w:styleId="832" w:customStyle="1">
    <w:name w:val="Bordered &amp; 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</w:style>
  <w:style w:type="table" w:styleId="838" w:customStyle="1">
    <w:name w:val="Bordered &amp; 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</w:style>
  <w:style w:type="table" w:styleId="839" w:customStyle="1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 w:customStyle="1">
    <w:name w:val="Footnote Text Char"/>
    <w:uiPriority w:val="99"/>
    <w:rPr>
      <w:sz w:val="18"/>
    </w:rPr>
  </w:style>
  <w:style w:type="paragraph" w:styleId="847">
    <w:name w:val="endnote text"/>
    <w:basedOn w:val="686"/>
    <w:link w:val="848"/>
    <w:uiPriority w:val="99"/>
    <w:semiHidden/>
    <w:unhideWhenUsed/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96"/>
    <w:uiPriority w:val="99"/>
    <w:semiHidden/>
    <w:unhideWhenUsed/>
    <w:rPr>
      <w:vertAlign w:val="superscript"/>
    </w:rPr>
  </w:style>
  <w:style w:type="paragraph" w:styleId="850">
    <w:name w:val="toc 1"/>
    <w:basedOn w:val="686"/>
    <w:next w:val="686"/>
    <w:uiPriority w:val="39"/>
    <w:unhideWhenUsed/>
    <w:pPr>
      <w:spacing w:after="57"/>
    </w:pPr>
  </w:style>
  <w:style w:type="paragraph" w:styleId="851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2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3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4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5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6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7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58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86"/>
    <w:next w:val="686"/>
    <w:uiPriority w:val="99"/>
    <w:unhideWhenUsed/>
  </w:style>
  <w:style w:type="character" w:styleId="861" w:customStyle="1">
    <w:name w:val="Заголовок 3 Знак"/>
    <w:basedOn w:val="696"/>
    <w:link w:val="689"/>
    <w:rPr>
      <w:rFonts w:ascii="Times New Roman" w:hAnsi="Times New Roman" w:cs="Times New Roman" w:eastAsia="Times New Roman"/>
      <w:b/>
      <w:sz w:val="40"/>
      <w:szCs w:val="20"/>
      <w:lang w:eastAsia="ru-RU"/>
    </w:rPr>
  </w:style>
  <w:style w:type="paragraph" w:styleId="862">
    <w:name w:val="List Paragraph"/>
    <w:basedOn w:val="686"/>
    <w:uiPriority w:val="34"/>
    <w:qFormat/>
    <w:pPr>
      <w:contextualSpacing/>
      <w:ind w:left="720"/>
    </w:pPr>
  </w:style>
  <w:style w:type="paragraph" w:styleId="863" w:customStyle="1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864" w:customStyle="1">
    <w:name w:val="ConsPlusTitle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865">
    <w:name w:val="Balloon Text"/>
    <w:basedOn w:val="686"/>
    <w:link w:val="866"/>
    <w:uiPriority w:val="99"/>
    <w:semiHidden/>
    <w:unhideWhenUsed/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696"/>
    <w:link w:val="865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867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868" w:customStyle="1">
    <w:name w:val="ConsPlusTitlePage"/>
    <w:pPr>
      <w:spacing w:after="0" w:line="240" w:lineRule="auto"/>
      <w:widowControl w:val="off"/>
    </w:pPr>
    <w:rPr>
      <w:rFonts w:ascii="Tahoma" w:hAnsi="Tahoma" w:cs="Tahoma" w:eastAsia="Times New Roman"/>
      <w:sz w:val="20"/>
      <w:szCs w:val="20"/>
      <w:lang w:eastAsia="ru-RU"/>
    </w:rPr>
  </w:style>
  <w:style w:type="table" w:styleId="869" w:customStyle="1">
    <w:name w:val="Сетка таблицы1"/>
    <w:basedOn w:val="697"/>
    <w:next w:val="870"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Table Grid"/>
    <w:basedOn w:val="6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1">
    <w:name w:val="Header"/>
    <w:basedOn w:val="686"/>
    <w:link w:val="8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2" w:customStyle="1">
    <w:name w:val="Верхний колонтитул Знак"/>
    <w:basedOn w:val="696"/>
    <w:link w:val="871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873">
    <w:name w:val="Footer"/>
    <w:basedOn w:val="686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 w:customStyle="1">
    <w:name w:val="Нижний колонтитул Знак"/>
    <w:basedOn w:val="696"/>
    <w:link w:val="873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875">
    <w:name w:val="footnote text"/>
    <w:basedOn w:val="686"/>
    <w:link w:val="876"/>
    <w:uiPriority w:val="99"/>
    <w:semiHidden/>
    <w:unhideWhenUsed/>
  </w:style>
  <w:style w:type="character" w:styleId="876" w:customStyle="1">
    <w:name w:val="Текст сноски Знак"/>
    <w:basedOn w:val="696"/>
    <w:link w:val="875"/>
    <w:uiPriority w:val="99"/>
    <w:semiHidden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877">
    <w:name w:val="footnote reference"/>
    <w:semiHidden/>
    <w:unhideWhenUsed/>
    <w:rPr>
      <w:vertAlign w:val="superscript"/>
    </w:rPr>
  </w:style>
  <w:style w:type="character" w:styleId="878">
    <w:name w:val="Hyperlink"/>
    <w:basedOn w:val="696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Викторовна</dc:creator>
  <cp:keywords/>
  <dc:description/>
  <cp:revision>9</cp:revision>
  <dcterms:created xsi:type="dcterms:W3CDTF">2021-10-01T08:18:00Z</dcterms:created>
  <dcterms:modified xsi:type="dcterms:W3CDTF">2023-03-13T09:48:07Z</dcterms:modified>
</cp:coreProperties>
</file>