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B99" w:rsidRDefault="00566EA8">
      <w:pPr>
        <w:spacing w:before="1920" w:after="720"/>
        <w:jc w:val="center"/>
        <w:rPr>
          <w:b/>
          <w:sz w:val="56"/>
        </w:rPr>
      </w:pPr>
      <w:r>
        <w:rPr>
          <w:b/>
          <w:spacing w:val="20"/>
          <w:sz w:val="56"/>
        </w:rPr>
        <w:t>ЗАКОН</w:t>
      </w:r>
      <w:r>
        <w:rPr>
          <w:b/>
          <w:sz w:val="56"/>
        </w:rPr>
        <w:br/>
        <w:t>Пензенской области</w:t>
      </w:r>
    </w:p>
    <w:p w:rsidR="00FF7B99" w:rsidRPr="0018659C" w:rsidRDefault="00566EA8">
      <w:pPr>
        <w:pStyle w:val="10"/>
        <w:spacing w:after="0"/>
        <w:rPr>
          <w:rFonts w:ascii="Times New Roman" w:hAnsi="Times New Roman"/>
          <w:szCs w:val="28"/>
        </w:rPr>
      </w:pPr>
      <w:r w:rsidRPr="0018659C">
        <w:rPr>
          <w:rFonts w:ascii="Times New Roman" w:hAnsi="Times New Roman"/>
          <w:szCs w:val="28"/>
        </w:rPr>
        <w:t>О внесении изменений</w:t>
      </w:r>
      <w:r w:rsidRPr="0018659C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FDBD3" wp14:editId="08312A90">
                <wp:simplePos x="0" y="0"/>
                <wp:positionH relativeFrom="page">
                  <wp:posOffset>1381125</wp:posOffset>
                </wp:positionH>
                <wp:positionV relativeFrom="paragraph">
                  <wp:posOffset>-2821940</wp:posOffset>
                </wp:positionV>
                <wp:extent cx="6026150" cy="530225"/>
                <wp:effectExtent l="0" t="0" r="0" b="3175"/>
                <wp:wrapNone/>
                <wp:docPr id="1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26150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F7B99" w:rsidRPr="008104D8" w:rsidRDefault="00566EA8">
                            <w:pPr>
                              <w:jc w:val="right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04D8">
                              <w:rPr>
                                <w:sz w:val="28"/>
                                <w:szCs w:val="28"/>
                                <w:u w:val="single"/>
                              </w:rPr>
                              <w:t>Проект</w:t>
                            </w:r>
                          </w:p>
                          <w:p w:rsidR="00FF7B99" w:rsidRDefault="00FF7B99">
                            <w:pPr>
                              <w:jc w:val="center"/>
                              <w:rPr>
                                <w:rFonts w:ascii="Calibri" w:hAnsi="Calibri" w:cs="Helv"/>
                                <w:color w:val="00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FDBD3" id="Text Box 39" o:spid="_x0000_s1026" style="position:absolute;left:0;text-align:left;margin-left:108.75pt;margin-top:-222.2pt;width:474.5pt;height: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YNOzgEAAI0DAAAOAAAAZHJzL2Uyb0RvYy54bWysU9uO0zAQfUfiHyy/06StWkHUdAWsFiFx&#10;WWl3P8Bx7MZS7DFjt0n5esZOtpTlDfFiecaTM+ecmexuRtuzk8JgwNV8uSg5U05Ca9yh5k+Pd2/e&#10;chaicK3owaman1XgN/vXr3aDr9QKOuhbhYxAXKgGX/MuRl8VRZCdsiIswCtHjxrQikghHooWxUDo&#10;ti9WZbktBsDWI0gVAmVvp0e+z/haKxm/ax1UZH3NiVvMJ+azSWex34nqgMJ3Rs40xD+wsMI4anqB&#10;uhVRsCOav6CskQgBdFxIsAVobaTKGkjNsnyh5qETXmUtZE7wF5vC/4OV3073yExLs+PMCUsjelRj&#10;ZB9gZOt3yZ7Bh4qqHvw9zlGgK2uGr9BStThGyMpHjTY5QJrYmA0+XwxOiJKS23K1XW5oDpLeNuty&#10;tdqkFoWonr/2GOInBZalS82RBpjRxelLiFPpc0lq5uDO9D3lRdW7PxKEmTJFop8IT0Li2Iyzigba&#10;M+lAmHaCdpguHeBPzgbah5qHH0eBirP+syPD19uyTAt0HeB10FwHwkmCqnnkbLp+jNPSHT2aQ0ed&#10;llmWg/fknzZZWqI6sZp508yzOfN+pqW6jnPV779o/wsAAP//AwBQSwMEFAAGAAgAAAAhAJASUHPi&#10;AAAADgEAAA8AAABkcnMvZG93bnJldi54bWxMj0FPwzAMhe9I/IfISNy2pAUKlKYTmoCJXYDBAW5Z&#10;Y9qKxqmadCv8erwT+Ob3np4/F4vJdWKHQ2g9aUjmCgRS5W1LtYa31/vZFYgQDVnTeUIN3xhgUR4f&#10;FSa3fk8vuNvEWnAJhdxoaGLscylD1aAzYe57JPY+/eBM5HWopR3MnstdJ1OlMulMS3yhMT0uG6y+&#10;NqPTsKpTN/7Q+ulOrcfnd1z2q4+HR61PT6bbGxARp/gXhgM+o0PJTFs/kg2i05Amlxcc1TA75wFx&#10;iCRZxtqWtbNMXYMsC/n/jfIXAAD//wMAUEsBAi0AFAAGAAgAAAAhALaDOJL+AAAA4QEAABMAAAAA&#10;AAAAAAAAAAAAAAAAAFtDb250ZW50X1R5cGVzXS54bWxQSwECLQAUAAYACAAAACEAOP0h/9YAAACU&#10;AQAACwAAAAAAAAAAAAAAAAAvAQAAX3JlbHMvLnJlbHNQSwECLQAUAAYACAAAACEAZIWDTs4BAACN&#10;AwAADgAAAAAAAAAAAAAAAAAuAgAAZHJzL2Uyb0RvYy54bWxQSwECLQAUAAYACAAAACEAkBJQc+IA&#10;AAAOAQAADwAAAAAAAAAAAAAAAAAoBAAAZHJzL2Rvd25yZXYueG1sUEsFBgAAAAAEAAQA8wAAADcF&#10;AAAAAA==&#10;" filled="f" stroked="f">
                <v:textbox inset="1mm,1mm,1mm,1mm">
                  <w:txbxContent>
                    <w:p w:rsidR="00FF7B99" w:rsidRPr="008104D8" w:rsidRDefault="00566EA8">
                      <w:pPr>
                        <w:jc w:val="right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04D8">
                        <w:rPr>
                          <w:sz w:val="28"/>
                          <w:szCs w:val="28"/>
                          <w:u w:val="single"/>
                        </w:rPr>
                        <w:t>Проект</w:t>
                      </w:r>
                    </w:p>
                    <w:p w:rsidR="00FF7B99" w:rsidRDefault="00FF7B99">
                      <w:pPr>
                        <w:jc w:val="center"/>
                        <w:rPr>
                          <w:rFonts w:ascii="Calibri" w:hAnsi="Calibri" w:cs="Helv"/>
                          <w:color w:val="000000"/>
                          <w:sz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18659C">
        <w:rPr>
          <w:rFonts w:ascii="Times New Roman" w:hAnsi="Times New Roman"/>
          <w:szCs w:val="28"/>
        </w:rPr>
        <w:t xml:space="preserve"> в </w:t>
      </w:r>
      <w:r w:rsidR="00846F5F" w:rsidRPr="0018659C">
        <w:rPr>
          <w:rFonts w:ascii="Times New Roman" w:hAnsi="Times New Roman"/>
          <w:szCs w:val="28"/>
        </w:rPr>
        <w:t>Закон Пензенской области «О порядке определения границ прилегающей территории к зданию, строению, сооружению, земельному участку»</w:t>
      </w:r>
    </w:p>
    <w:p w:rsidR="00FF7B99" w:rsidRDefault="00566EA8">
      <w:pPr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Внесен Губернатором Пензенской области О.В. Мельниченко</w:t>
      </w:r>
    </w:p>
    <w:p w:rsidR="00FF7B99" w:rsidRDefault="00FF7B99">
      <w:pPr>
        <w:ind w:firstLine="567"/>
        <w:rPr>
          <w:b/>
          <w:sz w:val="28"/>
          <w:szCs w:val="28"/>
        </w:rPr>
      </w:pPr>
    </w:p>
    <w:p w:rsidR="00FF7B99" w:rsidRDefault="00566EA8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</w:p>
    <w:p w:rsidR="00FF7B99" w:rsidRDefault="00FF7B99">
      <w:pPr>
        <w:ind w:firstLine="567"/>
        <w:rPr>
          <w:b/>
          <w:sz w:val="28"/>
          <w:szCs w:val="28"/>
        </w:rPr>
      </w:pPr>
    </w:p>
    <w:p w:rsidR="00FF7B99" w:rsidRDefault="00566E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Закон Пензенской области от 28 июня 2018 </w:t>
      </w:r>
      <w:r w:rsidR="0018659C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3203-ЗПО «О порядке определения границ прилегающей территории к зданию, строению, сооружению, земельному участку» (Пензенские губернские ведомости, 2018, № 43) следующие изменения:</w:t>
      </w:r>
    </w:p>
    <w:p w:rsidR="00FF7B99" w:rsidRDefault="009F44B6" w:rsidP="000124EA">
      <w:pPr>
        <w:pStyle w:val="af6"/>
        <w:tabs>
          <w:tab w:val="left" w:pos="850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124EA">
        <w:rPr>
          <w:rFonts w:ascii="Times New Roman" w:hAnsi="Times New Roman" w:cs="Times New Roman"/>
          <w:color w:val="000000" w:themeColor="text1"/>
          <w:sz w:val="28"/>
          <w:szCs w:val="28"/>
        </w:rPr>
        <w:t>) в статье</w:t>
      </w:r>
      <w:r w:rsidR="00566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2:</w:t>
      </w:r>
    </w:p>
    <w:p w:rsidR="00FF7B99" w:rsidRDefault="00566EA8">
      <w:pPr>
        <w:pStyle w:val="af6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пункт 3 части 2 изложить в следующей редакции: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«3) границы прилегающей территории – условные линии, являющиеся пределом прилегающей территории, определяемые правилами благоустройства, установленные в соответствии с частью 2 статьи 3 настоящего Закона и отображенные на карте границ прилегающей территории путем определения в метрах расстояния от внутренней до внешней границы прилегающей территории;»;</w:t>
      </w:r>
    </w:p>
    <w:p w:rsidR="00FF7B99" w:rsidRDefault="00566EA8">
      <w:pPr>
        <w:pStyle w:val="af6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пункт 6 части 2 изложить в следующей редакции: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«6) карта границ прилегающей территории муниципального образования – графическое изображение всех схем границ прилегающих территорий на территории муниципального образования или на части территории муниципального образования, подготовленное в форме одного электронного документа, размещенного на официальном сайте муниципального образования в информационно-коммуникационной сети «Интернет»;»;</w:t>
      </w:r>
    </w:p>
    <w:p w:rsidR="00FF7B99" w:rsidRDefault="00566EA8">
      <w:pPr>
        <w:pStyle w:val="af6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дополнить часть 2 пунктами 7-11 следующего содержания: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«7) схема границ прилегающей территории – документ, содержащий схематичное изображение границ прилегающей к зданию, строению, сооружению, земельному участку (далее – также объекты), территории;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8) уполномоченный орган – определенный правилами благоустройства орган местного самоуправления, осуществляющий подготовку соглашения об определении границ прилегающей территории, утверждение схемы границ прилегающей территории, ведение карты границ прилегающей территории муниципального образования;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уполномоченное лицо – физическое или юридическое лицо, уполномоченное собственником и (или) иным законным владельцем объектов принимать участие, в том числе финансовое, в содержании прилегающих территорий и (или) заключать соглашение об определении границ прилегающей территории;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соглашение об определении границ прилегающей территории – соглашение, заключаемое на добровольной основе между уполномоченным органом и собственником или иным законным владельцем объекта либо уполномоченным лицом для определения границ прилегающей территории с целью участия, в том числе финансового, собственника или иного законного владельца объекта либо уполномоченного лица в содержании прилегающей территории;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местные условия – природно-климатические, географические, социально-экономические и иные особенности отдельных муниципальных образований.»;</w:t>
      </w:r>
    </w:p>
    <w:p w:rsidR="00FF7B99" w:rsidRPr="005F1CE6" w:rsidRDefault="00566EA8" w:rsidP="005F1CE6">
      <w:pPr>
        <w:pStyle w:val="af6"/>
        <w:numPr>
          <w:ilvl w:val="0"/>
          <w:numId w:val="8"/>
        </w:numPr>
        <w:tabs>
          <w:tab w:val="left" w:pos="8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F1CE6">
        <w:rPr>
          <w:rFonts w:ascii="Times New Roman" w:hAnsi="Times New Roman" w:cs="Times New Roman"/>
          <w:sz w:val="28"/>
          <w:szCs w:val="28"/>
        </w:rPr>
        <w:t>дополнить статьей 2.1 следующего содержания:</w:t>
      </w:r>
    </w:p>
    <w:p w:rsidR="00FF7B99" w:rsidRDefault="00566EA8">
      <w:pPr>
        <w:pStyle w:val="af6"/>
        <w:tabs>
          <w:tab w:val="left" w:pos="850"/>
        </w:tabs>
        <w:ind w:left="0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«Статья 2.1 Основные принципы определения границ прилегающих территорий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Границы прилегающих территорий определяются исходя из следующих основных принципов:</w:t>
      </w:r>
    </w:p>
    <w:p w:rsidR="00FF7B99" w:rsidRDefault="00566EA8">
      <w:pPr>
        <w:pStyle w:val="af6"/>
        <w:numPr>
          <w:ilvl w:val="0"/>
          <w:numId w:val="2"/>
        </w:numPr>
        <w:tabs>
          <w:tab w:val="left" w:pos="85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местных условий – конкретные требования к границам прилегающих территорий, определяемые правилами благоустройства в соответствии с настоящим законом в зависимости от местных условий;</w:t>
      </w:r>
    </w:p>
    <w:p w:rsidR="00FF7B99" w:rsidRDefault="00566EA8">
      <w:pPr>
        <w:pStyle w:val="af6"/>
        <w:numPr>
          <w:ilvl w:val="0"/>
          <w:numId w:val="2"/>
        </w:numPr>
        <w:tabs>
          <w:tab w:val="left" w:pos="85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открытость и доступность информации в сфере обеспечения благоустройства территории муниципальных образований (при условии соблюдения требований законодательства о защите персональных данных) – возможность беспрепятственного доступа физических и юридических лиц к информации:</w:t>
      </w:r>
    </w:p>
    <w:p w:rsidR="00FF7B99" w:rsidRDefault="00566EA8">
      <w:pPr>
        <w:pStyle w:val="af6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состоянии объектов;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собственниках и (или) иных законных владельцах объектов, а также об уполномоченных лицах.»;</w:t>
      </w:r>
    </w:p>
    <w:p w:rsidR="00FF7B99" w:rsidRDefault="005F1CE6">
      <w:pPr>
        <w:pStyle w:val="af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F44B6">
        <w:rPr>
          <w:rFonts w:ascii="Times New Roman" w:hAnsi="Times New Roman"/>
          <w:sz w:val="28"/>
          <w:szCs w:val="28"/>
        </w:rPr>
        <w:t>)</w:t>
      </w:r>
      <w:r w:rsidR="00566EA8">
        <w:rPr>
          <w:rFonts w:ascii="Times New Roman" w:hAnsi="Times New Roman"/>
          <w:sz w:val="28"/>
          <w:szCs w:val="28"/>
        </w:rPr>
        <w:t xml:space="preserve"> </w:t>
      </w:r>
      <w:r w:rsidR="009F44B6">
        <w:rPr>
          <w:rFonts w:ascii="Times New Roman" w:hAnsi="Times New Roman" w:cs="Times New Roman"/>
          <w:color w:val="000000" w:themeColor="text1"/>
          <w:sz w:val="28"/>
          <w:szCs w:val="28"/>
        </w:rPr>
        <w:t>в статье</w:t>
      </w:r>
      <w:r w:rsidR="00566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3:</w:t>
      </w:r>
    </w:p>
    <w:p w:rsidR="00FF7B99" w:rsidRDefault="00566EA8">
      <w:pPr>
        <w:pStyle w:val="af6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часть 1 изложить в следующей редакции:</w:t>
      </w:r>
    </w:p>
    <w:p w:rsidR="00FF7B99" w:rsidRDefault="00566EA8">
      <w:pPr>
        <w:pStyle w:val="af6"/>
        <w:tabs>
          <w:tab w:val="left" w:pos="709"/>
          <w:tab w:val="left" w:pos="992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 Границы прилегающих территорий определяются в метрах в отношении территорий общего пользования, которые прилегают (то есть имеют общую границу) к объектам, посредством установления расстояния для объектов в зависимости от вида разрешенного использования и (или) </w:t>
      </w:r>
      <w:r>
        <w:rPr>
          <w:rFonts w:ascii="Times New Roman" w:hAnsi="Times New Roman"/>
          <w:sz w:val="28"/>
          <w:szCs w:val="28"/>
        </w:rPr>
        <w:lastRenderedPageBreak/>
        <w:t>фактического назначения объектов, а также иных требований настоящего Закона.»;</w:t>
      </w:r>
    </w:p>
    <w:p w:rsidR="00FF7B99" w:rsidRDefault="00566EA8">
      <w:pPr>
        <w:pStyle w:val="af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часть 2 изложить в следующей редакции:</w:t>
      </w:r>
    </w:p>
    <w:p w:rsidR="00FF7B99" w:rsidRDefault="00566EA8">
      <w:pPr>
        <w:pStyle w:val="af6"/>
        <w:tabs>
          <w:tab w:val="left" w:pos="850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 Способы установления границ прилегающей территории определяются правилами благоустройства с учетом местных условий:</w:t>
      </w:r>
    </w:p>
    <w:p w:rsidR="00FF7B99" w:rsidRDefault="00566EA8">
      <w:pPr>
        <w:pStyle w:val="af6"/>
        <w:numPr>
          <w:ilvl w:val="0"/>
          <w:numId w:val="3"/>
        </w:numPr>
        <w:tabs>
          <w:tab w:val="left" w:pos="85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путем определения в метрах расстояния от внутренней части границы прилегающей территории до внешней части прилегающей территории;</w:t>
      </w:r>
    </w:p>
    <w:p w:rsidR="00FF7B99" w:rsidRDefault="00566EA8">
      <w:pPr>
        <w:pStyle w:val="af6"/>
        <w:numPr>
          <w:ilvl w:val="0"/>
          <w:numId w:val="3"/>
        </w:numPr>
        <w:tabs>
          <w:tab w:val="left" w:pos="85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путем определения границ прилегающей территории соглашением об определении границ прилегающей территории, заключаемым между уполномоченным органом и собственником и (или) иным законным владельцем объекта либо уполномоченным лицом (далее – соглашение) в случае если границы прилегающих территорий превышают максимальные расстояния, установленные настоящей статьей, для объектов.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Границы прилегающей территории определяются правилами благоустройства в отношении следующих объектов с учетом следующих максимальных расстояний:</w:t>
      </w:r>
      <w:bookmarkStart w:id="0" w:name="_GoBack"/>
      <w:bookmarkEnd w:id="0"/>
    </w:p>
    <w:p w:rsidR="00FF7B99" w:rsidRDefault="00566EA8">
      <w:pPr>
        <w:pStyle w:val="af6"/>
        <w:numPr>
          <w:ilvl w:val="0"/>
          <w:numId w:val="4"/>
        </w:numPr>
        <w:tabs>
          <w:tab w:val="left" w:pos="850"/>
          <w:tab w:val="left" w:pos="992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многоквартирные жилые дома (за исключением многоквартирных жилых домов, земельные участки под которыми не образованы или образованы по границам таких домов) – территория общего пользования по периметру от внутренней части границы, прилегающей к образованному земельному участку территории шириной не более 5 метров, но не далее ближайшей границы проезжей части улицы (в случае расположения объекта вдоль дороги);</w:t>
      </w:r>
    </w:p>
    <w:p w:rsidR="00FF7B99" w:rsidRDefault="00566EA8">
      <w:pPr>
        <w:pStyle w:val="af6"/>
        <w:numPr>
          <w:ilvl w:val="0"/>
          <w:numId w:val="4"/>
        </w:numPr>
        <w:tabs>
          <w:tab w:val="left" w:pos="850"/>
          <w:tab w:val="left" w:pos="992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встроенные и (или) пристроенные нежилые помещения в многоквартирных жилых домах (за исключением многоквартирных жилых домов, земельные участки под которыми не образованы или образованы по границам таких домов) – территория общего пользования: в длину – на протяжении всей длины помещений, в ширину – от внутренней части границы прилегающей территории не более 5 метров, но не далее границы проезжей части улицы в случае расположения объекта вдоль дороги);</w:t>
      </w:r>
    </w:p>
    <w:p w:rsidR="00FF7B99" w:rsidRPr="005F1CE6" w:rsidRDefault="00566EA8">
      <w:pPr>
        <w:pStyle w:val="af6"/>
        <w:numPr>
          <w:ilvl w:val="0"/>
          <w:numId w:val="4"/>
        </w:numPr>
        <w:tabs>
          <w:tab w:val="left" w:pos="850"/>
          <w:tab w:val="left" w:pos="992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F1CE6">
        <w:rPr>
          <w:rFonts w:ascii="Times New Roman" w:hAnsi="Times New Roman"/>
          <w:sz w:val="28"/>
          <w:szCs w:val="28"/>
        </w:rPr>
        <w:t>учреждения социальной сферы (школы, дошкольные учреждения,</w:t>
      </w:r>
      <w:r w:rsidR="00696150">
        <w:rPr>
          <w:rFonts w:ascii="Times New Roman" w:hAnsi="Times New Roman"/>
          <w:sz w:val="28"/>
          <w:szCs w:val="28"/>
        </w:rPr>
        <w:t xml:space="preserve"> колледжи</w:t>
      </w:r>
      <w:r w:rsidR="005F1CE6">
        <w:rPr>
          <w:rFonts w:ascii="Times New Roman" w:hAnsi="Times New Roman"/>
          <w:sz w:val="28"/>
          <w:szCs w:val="28"/>
        </w:rPr>
        <w:t>, институты, университеты,</w:t>
      </w:r>
      <w:r w:rsidRPr="005F1CE6">
        <w:rPr>
          <w:rFonts w:ascii="Times New Roman" w:hAnsi="Times New Roman"/>
          <w:sz w:val="28"/>
          <w:szCs w:val="28"/>
        </w:rPr>
        <w:t xml:space="preserve"> учреждения культуры, здравоохранения, физкультуры и спорта) – территория общего пользования по периметру от внутренней части границы прилегающей территории шириной не более 10 метров, но не далее границы проезжей части улицы (в случае расположения объекта вдоль дороги);</w:t>
      </w:r>
    </w:p>
    <w:p w:rsidR="00FF7B99" w:rsidRDefault="00566EA8">
      <w:pPr>
        <w:pStyle w:val="af6"/>
        <w:numPr>
          <w:ilvl w:val="0"/>
          <w:numId w:val="4"/>
        </w:numPr>
        <w:tabs>
          <w:tab w:val="left" w:pos="850"/>
          <w:tab w:val="left" w:pos="992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промышленные предприятия – территория общего пользования по периметру от внутренней части границы прилегающей территории шириной не более 50 метров, но не далее границы проезжей части улицы, санитарно-защитные зоны. Санитарно-защитные зоны предприятий определяются в соответствии с требованиями действующих санитарных правил и норм;</w:t>
      </w:r>
    </w:p>
    <w:p w:rsidR="00FF7B99" w:rsidRDefault="00566EA8">
      <w:pPr>
        <w:pStyle w:val="af6"/>
        <w:numPr>
          <w:ilvl w:val="0"/>
          <w:numId w:val="4"/>
        </w:numPr>
        <w:tabs>
          <w:tab w:val="left" w:pos="850"/>
          <w:tab w:val="left" w:pos="992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строительные организации – территория общего пользования по периметру от внутренней части границы прилегающей территории шириной не более 50 метров, но не далее границы проезжей части улицы (в случае расположения объекта вдоль дороги);</w:t>
      </w:r>
    </w:p>
    <w:p w:rsidR="00FF7B99" w:rsidRDefault="00566EA8">
      <w:pPr>
        <w:pStyle w:val="af6"/>
        <w:numPr>
          <w:ilvl w:val="0"/>
          <w:numId w:val="4"/>
        </w:numPr>
        <w:tabs>
          <w:tab w:val="left" w:pos="850"/>
          <w:tab w:val="left" w:pos="992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жилые дома – территория общего пользования по периметру от внутренней части границы прилегающей территории шириной не более 5 метров, но не далее границы проезжей части улицы (в случае расположения объекта вдоль дороги);</w:t>
      </w:r>
    </w:p>
    <w:p w:rsidR="00FF7B99" w:rsidRDefault="00566EA8">
      <w:pPr>
        <w:pStyle w:val="af6"/>
        <w:numPr>
          <w:ilvl w:val="0"/>
          <w:numId w:val="4"/>
        </w:numPr>
        <w:tabs>
          <w:tab w:val="left" w:pos="850"/>
          <w:tab w:val="left" w:pos="992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рынки, организации торговли и общественного питания (рестораны, кафе, магазины) – территория общего пользования по периметру от внутренней части границы прилегающей территории шириной не более 50 метров, но не далее границы проезжей части улицы (в случае расположения объекта вдоль дороги);</w:t>
      </w:r>
    </w:p>
    <w:p w:rsidR="00FF7B99" w:rsidRDefault="00566EA8">
      <w:pPr>
        <w:pStyle w:val="af6"/>
        <w:numPr>
          <w:ilvl w:val="0"/>
          <w:numId w:val="4"/>
        </w:numPr>
        <w:tabs>
          <w:tab w:val="left" w:pos="850"/>
          <w:tab w:val="left" w:pos="992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отдельно стоящие нежилые здания, строения, сооружения – территория общего пользования по периметру от внутренней части границы прилегающей территории шириной не более 10 метров, но не далее границы проезжей части улицы (в случае расположения объекта вдоль дороги);</w:t>
      </w:r>
    </w:p>
    <w:p w:rsidR="00FF7B99" w:rsidRDefault="00566EA8">
      <w:pPr>
        <w:pStyle w:val="af6"/>
        <w:numPr>
          <w:ilvl w:val="0"/>
          <w:numId w:val="4"/>
        </w:numPr>
        <w:tabs>
          <w:tab w:val="left" w:pos="850"/>
          <w:tab w:val="left" w:pos="992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заправочные станции, расположенные в пределах полосы отвода автомобильной дороги и на других земельных участках – территория общего пользования по периметру от внутренней части границы прилегающей территории шириной не более 50 метров, но не далее границы проезжей части улицы (в случае расположения объекта вдоль дороги);</w:t>
      </w:r>
    </w:p>
    <w:p w:rsidR="00FF7B99" w:rsidRDefault="00566EA8">
      <w:pPr>
        <w:pStyle w:val="af6"/>
        <w:numPr>
          <w:ilvl w:val="0"/>
          <w:numId w:val="4"/>
        </w:numPr>
        <w:tabs>
          <w:tab w:val="left" w:pos="850"/>
          <w:tab w:val="left" w:pos="992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гаражные кооперативы - территория общего пользования по периметру от внутренней части границы прилегающей территории шириной не более 20 метров, но не далее границы проезжей части улицы (в случае расположения объекта вдоль дороги);</w:t>
      </w:r>
    </w:p>
    <w:p w:rsidR="00FF7B99" w:rsidRDefault="00566EA8">
      <w:pPr>
        <w:pStyle w:val="af6"/>
        <w:numPr>
          <w:ilvl w:val="0"/>
          <w:numId w:val="4"/>
        </w:numPr>
        <w:tabs>
          <w:tab w:val="left" w:pos="850"/>
          <w:tab w:val="left" w:pos="992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садоводческие, огороднические и дачные некоммерческие объединения граждан - территория общего пользования по периметру от внутренней части границы прилегающей территории шириной не более 10 метров, но не далее границы проезжей части улицы (в случае расположения объекта вдоль дороги);</w:t>
      </w:r>
    </w:p>
    <w:p w:rsidR="00FF7B99" w:rsidRDefault="00566EA8">
      <w:pPr>
        <w:pStyle w:val="af6"/>
        <w:numPr>
          <w:ilvl w:val="0"/>
          <w:numId w:val="4"/>
        </w:numPr>
        <w:tabs>
          <w:tab w:val="left" w:pos="850"/>
          <w:tab w:val="left" w:pos="992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0124EA">
        <w:rPr>
          <w:rFonts w:ascii="Times New Roman" w:hAnsi="Times New Roman"/>
          <w:sz w:val="28"/>
          <w:szCs w:val="28"/>
        </w:rPr>
        <w:t>ладбища</w:t>
      </w:r>
      <w:r>
        <w:rPr>
          <w:rFonts w:ascii="Times New Roman" w:hAnsi="Times New Roman"/>
          <w:sz w:val="28"/>
          <w:szCs w:val="28"/>
        </w:rPr>
        <w:t xml:space="preserve"> - территория общего пользования по периметру от внутренней части границы прилегающей территории шириной не более 10 метров, но не далее границы проезжей части улицы (в случае расположения объекта вдоль дороги);</w:t>
      </w:r>
    </w:p>
    <w:p w:rsidR="00FF7B99" w:rsidRDefault="00566EA8">
      <w:pPr>
        <w:pStyle w:val="af6"/>
        <w:numPr>
          <w:ilvl w:val="0"/>
          <w:numId w:val="4"/>
        </w:numPr>
        <w:tabs>
          <w:tab w:val="left" w:pos="850"/>
          <w:tab w:val="left" w:pos="992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земельные участки, на которых не расположены объекты недвижимости, за исключением земельных участков с видом разрешенного использования для индивидуального жилищного строительства либо ведения личного подсобного хозяйства, садовых, огородных и дачных земельных участков, находящихся в собственности физических лиц - территория общего пользования по периметру от внутренней части границы прилегающей </w:t>
      </w:r>
      <w:r>
        <w:rPr>
          <w:rFonts w:ascii="Times New Roman" w:hAnsi="Times New Roman"/>
          <w:sz w:val="28"/>
          <w:szCs w:val="28"/>
        </w:rPr>
        <w:lastRenderedPageBreak/>
        <w:t>территории шириной не более 5 метров, но не далее границы проезжей части улицы (в случае расположения объекта вдоль дороги);</w:t>
      </w:r>
    </w:p>
    <w:p w:rsidR="00FF7B99" w:rsidRDefault="00566EA8">
      <w:pPr>
        <w:pStyle w:val="af6"/>
        <w:numPr>
          <w:ilvl w:val="0"/>
          <w:numId w:val="4"/>
        </w:numPr>
        <w:tabs>
          <w:tab w:val="left" w:pos="850"/>
          <w:tab w:val="left" w:pos="992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стоянки длительного и краткосрочного хранения автотранспортных средств - территория общего пользования по периметру от внутренней части границы прилегающей территории шириной не более 10 метров, но не далее границы проезжей части улицы (в случае расположения объекта вдоль дороги).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Границы прилегающих территорий, установленных соглашением, не могут превышать максимальных расстояний, установленных настоящей статьей для данного вида объекта более чем в два раза.»;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часть 5 изложить в следующей редакции:</w:t>
      </w:r>
    </w:p>
    <w:p w:rsidR="00FF7B99" w:rsidRDefault="00566EA8">
      <w:pPr>
        <w:pStyle w:val="af6"/>
        <w:ind w:left="0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«5. Границы прилегающей территории отображаются на схеме границ прилегающей территории.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заключения соглашения об определении границ прилегающей территории, в соответствии с пунктом 2 части 2 настоящей статьи, приложением к нему будет являться схема границ прилегающей территории. В правилах благоустройства должен быть определен порядок заключения соглашений, подготовки и утверждения схем границ прилегающих территорий.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соглашения, форма схемы границ прилегающей территории, требования к ее подготовке устанавливаются уполномоченным Правительством Пензенской области органом исполнительной власти Пензенской области.»;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часть 6 изложить в следующей редакции:</w:t>
      </w:r>
    </w:p>
    <w:p w:rsidR="00FF7B99" w:rsidRDefault="00566EA8">
      <w:pPr>
        <w:pStyle w:val="af6"/>
        <w:tabs>
          <w:tab w:val="left" w:pos="850"/>
          <w:tab w:val="left" w:pos="992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«6. Схема границ прилегающей территории подготавливается уполномоченным органом.»;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часть 7 изложить в следующей редакции: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«7. Подготовка схемы границ прилегающей территории осуществляется в форме электронного и (или) бумажного документа.»;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дополнить частью 7.1 следующего содержания:</w:t>
      </w:r>
    </w:p>
    <w:p w:rsidR="00FF7B99" w:rsidRDefault="000124EA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«7.1. В</w:t>
      </w:r>
      <w:r w:rsidR="00566EA8">
        <w:rPr>
          <w:rFonts w:ascii="Times New Roman" w:hAnsi="Times New Roman"/>
          <w:sz w:val="28"/>
          <w:szCs w:val="28"/>
        </w:rPr>
        <w:t xml:space="preserve"> случае совпадения (наложения) границ территорий, прилегающих к объектам, границы прилегающих территорий устанавливаются на равном удалении от указанных объектов в пределах величин</w:t>
      </w:r>
      <w:r w:rsidR="00170AD2">
        <w:rPr>
          <w:rFonts w:ascii="Times New Roman" w:hAnsi="Times New Roman"/>
          <w:sz w:val="28"/>
          <w:szCs w:val="28"/>
        </w:rPr>
        <w:t>,</w:t>
      </w:r>
      <w:r w:rsidR="00566EA8">
        <w:rPr>
          <w:rFonts w:ascii="Times New Roman" w:hAnsi="Times New Roman"/>
          <w:sz w:val="28"/>
          <w:szCs w:val="28"/>
        </w:rPr>
        <w:t xml:space="preserve"> указанных в части 2 настоящей статьи.»;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часть 8 исключить;</w:t>
      </w: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абзац второй части 9 исключить.</w:t>
      </w:r>
    </w:p>
    <w:p w:rsidR="00FF7B99" w:rsidRDefault="00FF7B99">
      <w:pPr>
        <w:pStyle w:val="af6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F7B99" w:rsidRDefault="00566EA8">
      <w:pPr>
        <w:pStyle w:val="af6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2 </w:t>
      </w:r>
    </w:p>
    <w:p w:rsidR="00FF7B99" w:rsidRDefault="00FF7B99">
      <w:pPr>
        <w:pStyle w:val="af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B99" w:rsidRDefault="00566E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по истечении десяти дней после дня его официального опубликования.</w:t>
      </w:r>
    </w:p>
    <w:p w:rsidR="00FF7B99" w:rsidRDefault="00FF7B99">
      <w:pPr>
        <w:jc w:val="both"/>
        <w:rPr>
          <w:sz w:val="28"/>
          <w:szCs w:val="28"/>
        </w:rPr>
      </w:pPr>
    </w:p>
    <w:p w:rsidR="00FF7B99" w:rsidRDefault="00FF7B99">
      <w:pPr>
        <w:jc w:val="both"/>
        <w:rPr>
          <w:sz w:val="28"/>
          <w:szCs w:val="28"/>
        </w:rPr>
      </w:pPr>
    </w:p>
    <w:sectPr w:rsidR="00FF7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B99" w:rsidRDefault="00566EA8">
      <w:r>
        <w:separator/>
      </w:r>
    </w:p>
  </w:endnote>
  <w:endnote w:type="continuationSeparator" w:id="0">
    <w:p w:rsidR="00FF7B99" w:rsidRDefault="00566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B99" w:rsidRDefault="00566EA8">
      <w:r>
        <w:separator/>
      </w:r>
    </w:p>
  </w:footnote>
  <w:footnote w:type="continuationSeparator" w:id="0">
    <w:p w:rsidR="00FF7B99" w:rsidRDefault="00566E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E22C2"/>
    <w:multiLevelType w:val="hybridMultilevel"/>
    <w:tmpl w:val="5D54D226"/>
    <w:lvl w:ilvl="0" w:tplc="7EEEF2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708922E">
      <w:start w:val="1"/>
      <w:numFmt w:val="lowerLetter"/>
      <w:lvlText w:val="%2."/>
      <w:lvlJc w:val="left"/>
      <w:pPr>
        <w:ind w:left="1800" w:hanging="360"/>
      </w:pPr>
    </w:lvl>
    <w:lvl w:ilvl="2" w:tplc="85349B8C">
      <w:start w:val="1"/>
      <w:numFmt w:val="lowerRoman"/>
      <w:lvlText w:val="%3."/>
      <w:lvlJc w:val="right"/>
      <w:pPr>
        <w:ind w:left="2520" w:hanging="180"/>
      </w:pPr>
    </w:lvl>
    <w:lvl w:ilvl="3" w:tplc="B0228420">
      <w:start w:val="1"/>
      <w:numFmt w:val="decimal"/>
      <w:lvlText w:val="%4."/>
      <w:lvlJc w:val="left"/>
      <w:pPr>
        <w:ind w:left="3240" w:hanging="360"/>
      </w:pPr>
    </w:lvl>
    <w:lvl w:ilvl="4" w:tplc="5A18E4D6">
      <w:start w:val="1"/>
      <w:numFmt w:val="lowerLetter"/>
      <w:lvlText w:val="%5."/>
      <w:lvlJc w:val="left"/>
      <w:pPr>
        <w:ind w:left="3960" w:hanging="360"/>
      </w:pPr>
    </w:lvl>
    <w:lvl w:ilvl="5" w:tplc="68A4D072">
      <w:start w:val="1"/>
      <w:numFmt w:val="lowerRoman"/>
      <w:lvlText w:val="%6."/>
      <w:lvlJc w:val="right"/>
      <w:pPr>
        <w:ind w:left="4680" w:hanging="180"/>
      </w:pPr>
    </w:lvl>
    <w:lvl w:ilvl="6" w:tplc="21E21B72">
      <w:start w:val="1"/>
      <w:numFmt w:val="decimal"/>
      <w:lvlText w:val="%7."/>
      <w:lvlJc w:val="left"/>
      <w:pPr>
        <w:ind w:left="5400" w:hanging="360"/>
      </w:pPr>
    </w:lvl>
    <w:lvl w:ilvl="7" w:tplc="51908B62">
      <w:start w:val="1"/>
      <w:numFmt w:val="lowerLetter"/>
      <w:lvlText w:val="%8."/>
      <w:lvlJc w:val="left"/>
      <w:pPr>
        <w:ind w:left="6120" w:hanging="360"/>
      </w:pPr>
    </w:lvl>
    <w:lvl w:ilvl="8" w:tplc="D6B0B7D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6E4F08"/>
    <w:multiLevelType w:val="hybridMultilevel"/>
    <w:tmpl w:val="6F0ED8FE"/>
    <w:lvl w:ilvl="0" w:tplc="12CA47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5E86DD4">
      <w:start w:val="1"/>
      <w:numFmt w:val="lowerLetter"/>
      <w:lvlText w:val="%2."/>
      <w:lvlJc w:val="left"/>
      <w:pPr>
        <w:ind w:left="1800" w:hanging="360"/>
      </w:pPr>
    </w:lvl>
    <w:lvl w:ilvl="2" w:tplc="F6A605BE">
      <w:start w:val="1"/>
      <w:numFmt w:val="lowerRoman"/>
      <w:lvlText w:val="%3."/>
      <w:lvlJc w:val="right"/>
      <w:pPr>
        <w:ind w:left="2520" w:hanging="180"/>
      </w:pPr>
    </w:lvl>
    <w:lvl w:ilvl="3" w:tplc="CA3029E8">
      <w:start w:val="1"/>
      <w:numFmt w:val="decimal"/>
      <w:lvlText w:val="%4."/>
      <w:lvlJc w:val="left"/>
      <w:pPr>
        <w:ind w:left="3240" w:hanging="360"/>
      </w:pPr>
    </w:lvl>
    <w:lvl w:ilvl="4" w:tplc="06765010">
      <w:start w:val="1"/>
      <w:numFmt w:val="lowerLetter"/>
      <w:lvlText w:val="%5."/>
      <w:lvlJc w:val="left"/>
      <w:pPr>
        <w:ind w:left="3960" w:hanging="360"/>
      </w:pPr>
    </w:lvl>
    <w:lvl w:ilvl="5" w:tplc="E0745046">
      <w:start w:val="1"/>
      <w:numFmt w:val="lowerRoman"/>
      <w:lvlText w:val="%6."/>
      <w:lvlJc w:val="right"/>
      <w:pPr>
        <w:ind w:left="4680" w:hanging="180"/>
      </w:pPr>
    </w:lvl>
    <w:lvl w:ilvl="6" w:tplc="1276A470">
      <w:start w:val="1"/>
      <w:numFmt w:val="decimal"/>
      <w:lvlText w:val="%7."/>
      <w:lvlJc w:val="left"/>
      <w:pPr>
        <w:ind w:left="5400" w:hanging="360"/>
      </w:pPr>
    </w:lvl>
    <w:lvl w:ilvl="7" w:tplc="ED427F14">
      <w:start w:val="1"/>
      <w:numFmt w:val="lowerLetter"/>
      <w:lvlText w:val="%8."/>
      <w:lvlJc w:val="left"/>
      <w:pPr>
        <w:ind w:left="6120" w:hanging="360"/>
      </w:pPr>
    </w:lvl>
    <w:lvl w:ilvl="8" w:tplc="AEDA689A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07DA9"/>
    <w:multiLevelType w:val="hybridMultilevel"/>
    <w:tmpl w:val="1B9A3DF0"/>
    <w:lvl w:ilvl="0" w:tplc="6DF26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7EA10A">
      <w:start w:val="1"/>
      <w:numFmt w:val="lowerLetter"/>
      <w:lvlText w:val="%2."/>
      <w:lvlJc w:val="left"/>
      <w:pPr>
        <w:ind w:left="1440" w:hanging="360"/>
      </w:pPr>
    </w:lvl>
    <w:lvl w:ilvl="2" w:tplc="83F6177E">
      <w:start w:val="1"/>
      <w:numFmt w:val="lowerRoman"/>
      <w:lvlText w:val="%3."/>
      <w:lvlJc w:val="right"/>
      <w:pPr>
        <w:ind w:left="2160" w:hanging="180"/>
      </w:pPr>
    </w:lvl>
    <w:lvl w:ilvl="3" w:tplc="850EDEA4">
      <w:start w:val="1"/>
      <w:numFmt w:val="decimal"/>
      <w:lvlText w:val="%4."/>
      <w:lvlJc w:val="left"/>
      <w:pPr>
        <w:ind w:left="2880" w:hanging="360"/>
      </w:pPr>
    </w:lvl>
    <w:lvl w:ilvl="4" w:tplc="FB0CA43C">
      <w:start w:val="1"/>
      <w:numFmt w:val="lowerLetter"/>
      <w:lvlText w:val="%5."/>
      <w:lvlJc w:val="left"/>
      <w:pPr>
        <w:ind w:left="3600" w:hanging="360"/>
      </w:pPr>
    </w:lvl>
    <w:lvl w:ilvl="5" w:tplc="017EBF4E">
      <w:start w:val="1"/>
      <w:numFmt w:val="lowerRoman"/>
      <w:lvlText w:val="%6."/>
      <w:lvlJc w:val="right"/>
      <w:pPr>
        <w:ind w:left="4320" w:hanging="180"/>
      </w:pPr>
    </w:lvl>
    <w:lvl w:ilvl="6" w:tplc="C816A368">
      <w:start w:val="1"/>
      <w:numFmt w:val="decimal"/>
      <w:lvlText w:val="%7."/>
      <w:lvlJc w:val="left"/>
      <w:pPr>
        <w:ind w:left="5040" w:hanging="360"/>
      </w:pPr>
    </w:lvl>
    <w:lvl w:ilvl="7" w:tplc="68088406">
      <w:start w:val="1"/>
      <w:numFmt w:val="lowerLetter"/>
      <w:lvlText w:val="%8."/>
      <w:lvlJc w:val="left"/>
      <w:pPr>
        <w:ind w:left="5760" w:hanging="360"/>
      </w:pPr>
    </w:lvl>
    <w:lvl w:ilvl="8" w:tplc="560429C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73446"/>
    <w:multiLevelType w:val="hybridMultilevel"/>
    <w:tmpl w:val="510EFC7A"/>
    <w:lvl w:ilvl="0" w:tplc="5E4E2A0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FEEA9A4">
      <w:start w:val="1"/>
      <w:numFmt w:val="lowerLetter"/>
      <w:lvlText w:val="%2."/>
      <w:lvlJc w:val="left"/>
      <w:pPr>
        <w:ind w:left="1648" w:hanging="360"/>
      </w:pPr>
    </w:lvl>
    <w:lvl w:ilvl="2" w:tplc="AC886DCA">
      <w:start w:val="1"/>
      <w:numFmt w:val="lowerRoman"/>
      <w:lvlText w:val="%3."/>
      <w:lvlJc w:val="right"/>
      <w:pPr>
        <w:ind w:left="2368" w:hanging="180"/>
      </w:pPr>
    </w:lvl>
    <w:lvl w:ilvl="3" w:tplc="7FC2996E">
      <w:start w:val="1"/>
      <w:numFmt w:val="decimal"/>
      <w:lvlText w:val="%4."/>
      <w:lvlJc w:val="left"/>
      <w:pPr>
        <w:ind w:left="3088" w:hanging="360"/>
      </w:pPr>
    </w:lvl>
    <w:lvl w:ilvl="4" w:tplc="BF186EE4">
      <w:start w:val="1"/>
      <w:numFmt w:val="lowerLetter"/>
      <w:lvlText w:val="%5."/>
      <w:lvlJc w:val="left"/>
      <w:pPr>
        <w:ind w:left="3808" w:hanging="360"/>
      </w:pPr>
    </w:lvl>
    <w:lvl w:ilvl="5" w:tplc="C4022E04">
      <w:start w:val="1"/>
      <w:numFmt w:val="lowerRoman"/>
      <w:lvlText w:val="%6."/>
      <w:lvlJc w:val="right"/>
      <w:pPr>
        <w:ind w:left="4528" w:hanging="180"/>
      </w:pPr>
    </w:lvl>
    <w:lvl w:ilvl="6" w:tplc="BC06A9B6">
      <w:start w:val="1"/>
      <w:numFmt w:val="decimal"/>
      <w:lvlText w:val="%7."/>
      <w:lvlJc w:val="left"/>
      <w:pPr>
        <w:ind w:left="5248" w:hanging="360"/>
      </w:pPr>
    </w:lvl>
    <w:lvl w:ilvl="7" w:tplc="4AD2DF22">
      <w:start w:val="1"/>
      <w:numFmt w:val="lowerLetter"/>
      <w:lvlText w:val="%8."/>
      <w:lvlJc w:val="left"/>
      <w:pPr>
        <w:ind w:left="5968" w:hanging="360"/>
      </w:pPr>
    </w:lvl>
    <w:lvl w:ilvl="8" w:tplc="AC92E056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FFB7394"/>
    <w:multiLevelType w:val="hybridMultilevel"/>
    <w:tmpl w:val="7B6A0852"/>
    <w:lvl w:ilvl="0" w:tplc="9ADC705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5AA8FFE">
      <w:start w:val="1"/>
      <w:numFmt w:val="lowerLetter"/>
      <w:lvlText w:val="%2."/>
      <w:lvlJc w:val="left"/>
      <w:pPr>
        <w:ind w:left="1648" w:hanging="360"/>
      </w:pPr>
    </w:lvl>
    <w:lvl w:ilvl="2" w:tplc="AB767FFC">
      <w:start w:val="1"/>
      <w:numFmt w:val="lowerRoman"/>
      <w:lvlText w:val="%3."/>
      <w:lvlJc w:val="right"/>
      <w:pPr>
        <w:ind w:left="2368" w:hanging="180"/>
      </w:pPr>
    </w:lvl>
    <w:lvl w:ilvl="3" w:tplc="7BA6274E">
      <w:start w:val="1"/>
      <w:numFmt w:val="decimal"/>
      <w:lvlText w:val="%4."/>
      <w:lvlJc w:val="left"/>
      <w:pPr>
        <w:ind w:left="3088" w:hanging="360"/>
      </w:pPr>
    </w:lvl>
    <w:lvl w:ilvl="4" w:tplc="1F70830A">
      <w:start w:val="1"/>
      <w:numFmt w:val="lowerLetter"/>
      <w:lvlText w:val="%5."/>
      <w:lvlJc w:val="left"/>
      <w:pPr>
        <w:ind w:left="3808" w:hanging="360"/>
      </w:pPr>
    </w:lvl>
    <w:lvl w:ilvl="5" w:tplc="890E86B8">
      <w:start w:val="1"/>
      <w:numFmt w:val="lowerRoman"/>
      <w:lvlText w:val="%6."/>
      <w:lvlJc w:val="right"/>
      <w:pPr>
        <w:ind w:left="4528" w:hanging="180"/>
      </w:pPr>
    </w:lvl>
    <w:lvl w:ilvl="6" w:tplc="C3C61C3C">
      <w:start w:val="1"/>
      <w:numFmt w:val="decimal"/>
      <w:lvlText w:val="%7."/>
      <w:lvlJc w:val="left"/>
      <w:pPr>
        <w:ind w:left="5248" w:hanging="360"/>
      </w:pPr>
    </w:lvl>
    <w:lvl w:ilvl="7" w:tplc="B1D847AA">
      <w:start w:val="1"/>
      <w:numFmt w:val="lowerLetter"/>
      <w:lvlText w:val="%8."/>
      <w:lvlJc w:val="left"/>
      <w:pPr>
        <w:ind w:left="5968" w:hanging="360"/>
      </w:pPr>
    </w:lvl>
    <w:lvl w:ilvl="8" w:tplc="D8EEB3D6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8BC299B"/>
    <w:multiLevelType w:val="hybridMultilevel"/>
    <w:tmpl w:val="BBD09546"/>
    <w:lvl w:ilvl="0" w:tplc="222C3F2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 w:tplc="505C6466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 w:tplc="06403E80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 w:tplc="2B443418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8"/>
        <w:szCs w:val="24"/>
      </w:rPr>
    </w:lvl>
    <w:lvl w:ilvl="4" w:tplc="07106F72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 w:tplc="E74A9E6A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 w:tplc="BB007048">
      <w:start w:val="1"/>
      <w:numFmt w:val="decimal"/>
      <w:pStyle w:val="20"/>
      <w:suff w:val="space"/>
      <w:lvlText w:val="%7) "/>
      <w:lvlJc w:val="left"/>
      <w:pPr>
        <w:ind w:left="285" w:firstLine="283"/>
      </w:pPr>
      <w:rPr>
        <w:rFonts w:hint="default"/>
      </w:rPr>
    </w:lvl>
    <w:lvl w:ilvl="7" w:tplc="E8163B8E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 w:tplc="1A8E424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 w15:restartNumberingAfterBreak="0">
    <w:nsid w:val="4B1F38D8"/>
    <w:multiLevelType w:val="hybridMultilevel"/>
    <w:tmpl w:val="DC149D0E"/>
    <w:lvl w:ilvl="0" w:tplc="F108806A">
      <w:start w:val="2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1CC0C06"/>
    <w:multiLevelType w:val="hybridMultilevel"/>
    <w:tmpl w:val="D5B89138"/>
    <w:lvl w:ilvl="0" w:tplc="8DCAF594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DABE6E86">
      <w:start w:val="1"/>
      <w:numFmt w:val="lowerLetter"/>
      <w:lvlText w:val="%2."/>
      <w:lvlJc w:val="left"/>
      <w:pPr>
        <w:ind w:left="1647" w:hanging="360"/>
      </w:pPr>
    </w:lvl>
    <w:lvl w:ilvl="2" w:tplc="6FF47A9C">
      <w:start w:val="1"/>
      <w:numFmt w:val="lowerRoman"/>
      <w:lvlText w:val="%3."/>
      <w:lvlJc w:val="right"/>
      <w:pPr>
        <w:ind w:left="2367" w:hanging="180"/>
      </w:pPr>
    </w:lvl>
    <w:lvl w:ilvl="3" w:tplc="2BD2A2D2">
      <w:start w:val="1"/>
      <w:numFmt w:val="decimal"/>
      <w:lvlText w:val="%4."/>
      <w:lvlJc w:val="left"/>
      <w:pPr>
        <w:ind w:left="3087" w:hanging="360"/>
      </w:pPr>
    </w:lvl>
    <w:lvl w:ilvl="4" w:tplc="D134680C">
      <w:start w:val="1"/>
      <w:numFmt w:val="lowerLetter"/>
      <w:lvlText w:val="%5."/>
      <w:lvlJc w:val="left"/>
      <w:pPr>
        <w:ind w:left="3807" w:hanging="360"/>
      </w:pPr>
    </w:lvl>
    <w:lvl w:ilvl="5" w:tplc="1E24B18C">
      <w:start w:val="1"/>
      <w:numFmt w:val="lowerRoman"/>
      <w:lvlText w:val="%6."/>
      <w:lvlJc w:val="right"/>
      <w:pPr>
        <w:ind w:left="4527" w:hanging="180"/>
      </w:pPr>
    </w:lvl>
    <w:lvl w:ilvl="6" w:tplc="FBB0137C">
      <w:start w:val="1"/>
      <w:numFmt w:val="decimal"/>
      <w:lvlText w:val="%7."/>
      <w:lvlJc w:val="left"/>
      <w:pPr>
        <w:ind w:left="5247" w:hanging="360"/>
      </w:pPr>
    </w:lvl>
    <w:lvl w:ilvl="7" w:tplc="D14245F4">
      <w:start w:val="1"/>
      <w:numFmt w:val="lowerLetter"/>
      <w:lvlText w:val="%8."/>
      <w:lvlJc w:val="left"/>
      <w:pPr>
        <w:ind w:left="5967" w:hanging="360"/>
      </w:pPr>
    </w:lvl>
    <w:lvl w:ilvl="8" w:tplc="13F8732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99"/>
    <w:rsid w:val="000124EA"/>
    <w:rsid w:val="00113873"/>
    <w:rsid w:val="00152F17"/>
    <w:rsid w:val="00170AD2"/>
    <w:rsid w:val="0018659C"/>
    <w:rsid w:val="00387479"/>
    <w:rsid w:val="004D5A7B"/>
    <w:rsid w:val="00532133"/>
    <w:rsid w:val="00566EA8"/>
    <w:rsid w:val="005759D3"/>
    <w:rsid w:val="005F1CE6"/>
    <w:rsid w:val="00683C24"/>
    <w:rsid w:val="00696150"/>
    <w:rsid w:val="006C0DE9"/>
    <w:rsid w:val="006D5DD3"/>
    <w:rsid w:val="006E73BC"/>
    <w:rsid w:val="008104D8"/>
    <w:rsid w:val="00820A05"/>
    <w:rsid w:val="00825CD4"/>
    <w:rsid w:val="0083433B"/>
    <w:rsid w:val="00846F5F"/>
    <w:rsid w:val="009D51A2"/>
    <w:rsid w:val="009F44B6"/>
    <w:rsid w:val="00B537B0"/>
    <w:rsid w:val="00B878F3"/>
    <w:rsid w:val="00C84D1A"/>
    <w:rsid w:val="00C97C38"/>
    <w:rsid w:val="00DD6C92"/>
    <w:rsid w:val="00E15719"/>
    <w:rsid w:val="00E37496"/>
    <w:rsid w:val="00FD28FB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72763-AEB0-48A1-894D-AF2394EB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0">
    <w:name w:val="heading 1"/>
    <w:basedOn w:val="a"/>
    <w:next w:val="a"/>
    <w:link w:val="11"/>
    <w:qFormat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link w:val="21"/>
    <w:qFormat/>
    <w:pPr>
      <w:keepNext/>
      <w:keepLines/>
      <w:numPr>
        <w:ilvl w:val="1"/>
        <w:numId w:val="6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pPr>
      <w:keepNext/>
      <w:keepLines/>
      <w:numPr>
        <w:ilvl w:val="2"/>
        <w:numId w:val="6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pPr>
      <w:keepNext/>
      <w:keepLines/>
      <w:numPr>
        <w:ilvl w:val="3"/>
        <w:numId w:val="6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6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4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2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8">
    <w:name w:val="Верхний колонтитул Знак"/>
    <w:basedOn w:val="a1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a">
    <w:name w:val="Нижний колонтитул Знак"/>
    <w:basedOn w:val="a1"/>
    <w:link w:val="af9"/>
    <w:uiPriority w:val="99"/>
  </w:style>
  <w:style w:type="character" w:customStyle="1" w:styleId="11">
    <w:name w:val="Заголовок 1 Знак"/>
    <w:basedOn w:val="a1"/>
    <w:link w:val="10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pPr>
      <w:numPr>
        <w:ilvl w:val="5"/>
        <w:numId w:val="6"/>
      </w:numPr>
      <w:spacing w:before="120"/>
      <w:jc w:val="both"/>
      <w:outlineLvl w:val="5"/>
    </w:pPr>
    <w:rPr>
      <w:rFonts w:cs="Arial"/>
      <w:sz w:val="18"/>
      <w:szCs w:val="18"/>
    </w:rPr>
  </w:style>
  <w:style w:type="paragraph" w:customStyle="1" w:styleId="20">
    <w:name w:val="Стиль2"/>
    <w:basedOn w:val="1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pPr>
      <w:numPr>
        <w:ilvl w:val="7"/>
        <w:numId w:val="6"/>
      </w:numPr>
      <w:spacing w:before="60"/>
      <w:jc w:val="both"/>
    </w:pPr>
  </w:style>
  <w:style w:type="paragraph" w:styleId="a0">
    <w:name w:val="Body Text"/>
    <w:basedOn w:val="a"/>
    <w:link w:val="afb"/>
    <w:uiPriority w:val="99"/>
    <w:semiHidden/>
    <w:unhideWhenUsed/>
    <w:pPr>
      <w:spacing w:after="12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b">
    <w:name w:val="Основной текст Знак"/>
    <w:basedOn w:val="a1"/>
    <w:link w:val="a0"/>
    <w:uiPriority w:val="99"/>
    <w:semiHidden/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11387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Mingraduser021</dc:creator>
  <cp:keywords/>
  <dc:description/>
  <cp:lastModifiedBy>MingradVolkova</cp:lastModifiedBy>
  <cp:revision>4</cp:revision>
  <cp:lastPrinted>2023-03-01T12:48:00Z</cp:lastPrinted>
  <dcterms:created xsi:type="dcterms:W3CDTF">2023-03-01T12:13:00Z</dcterms:created>
  <dcterms:modified xsi:type="dcterms:W3CDTF">2023-03-01T12:51:00Z</dcterms:modified>
</cp:coreProperties>
</file>