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b/>
                <w:sz w:val="28"/>
                <w:szCs w:val="28"/>
              </w:rPr>
              <w:t xml:space="preserve">МИНИСТЕРСТВО ГРАДОСТРОИТЕЛЬСТВА И АРХИТЕКТУРЫ ПЕНЗЕНСКОЙ ОБЛАСТИ</w:t>
            </w:r>
            <w:r/>
          </w:p>
        </w:tc>
      </w:tr>
      <w:tr>
        <w:trPr>
          <w:trHeight w:val="397"/>
        </w:trPr>
        <w:tc>
          <w:tcPr>
            <w:tcW w:w="960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framePr w:h="2551" w:wrap="around" w:vAnchor="page" w:hAnchor="page" w:x="1388" w:y="2409" w:hRule="atLeast"/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9600" w:type="dxa"/>
            <w:textDirection w:val="lrTb"/>
            <w:noWrap w:val="false"/>
          </w:tcPr>
          <w:p>
            <w:pPr>
              <w:pStyle w:val="689"/>
              <w:rPr>
                <w:sz w:val="32"/>
                <w:szCs w:val="32"/>
              </w:rPr>
              <w:framePr w:h="2551" w:wrap="around" w:vAnchor="page" w:hAnchor="page" w:x="1388" w:y="2409" w:hRule="atLeast"/>
            </w:pPr>
            <w:r>
              <w:rPr>
                <w:sz w:val="32"/>
                <w:szCs w:val="32"/>
              </w:rPr>
              <w:t xml:space="preserve">П</w:t>
            </w:r>
            <w:r>
              <w:rPr>
                <w:sz w:val="32"/>
                <w:szCs w:val="32"/>
              </w:rPr>
              <w:t xml:space="preserve"> Р И К А З</w:t>
            </w:r>
            <w:r/>
          </w:p>
        </w:tc>
      </w:tr>
      <w:tr>
        <w:trPr>
          <w:trHeight w:val="340"/>
        </w:trPr>
        <w:tc>
          <w:tcPr>
            <w:tcW w:w="9600" w:type="dxa"/>
            <w:vAlign w:val="center"/>
            <w:textDirection w:val="lrTb"/>
            <w:noWrap w:val="false"/>
          </w:tcPr>
          <w:p>
            <w:pPr>
              <w:pStyle w:val="689"/>
              <w:framePr w:h="2551" w:wrap="around" w:vAnchor="page" w:hAnchor="page" w:x="1388" w:y="2409" w:hRule="atLeast"/>
            </w:pPr>
            <w:r/>
            <w:r/>
          </w:p>
        </w:tc>
      </w:tr>
    </w:tbl>
    <w:p>
      <w:pPr>
        <w:jc w:val="center"/>
      </w:pPr>
      <w:r>
        <w:rPr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-247650</wp:posOffset>
                </wp:positionV>
                <wp:extent cx="728980" cy="967105"/>
                <wp:effectExtent l="0" t="0" r="0" b="4445"/>
                <wp:wrapSquare wrapText="bothSides"/>
                <wp:docPr id="1" name="Рисунок 1" descr="Герб ППО (вектор) черная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Герб ППО (вектор) черная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8980" cy="967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7.1pt;mso-position-horizontal:absolute;mso-position-vertical-relative:text;margin-top:-19.5pt;mso-position-vertical:absolute;width:57.4pt;height:76.1pt;" stroked="false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>
        <w:trPr/>
        <w:tc>
          <w:tcPr>
            <w:tcW w:w="284" w:type="dxa"/>
            <w:vAlign w:val="bottom"/>
            <w:textDirection w:val="lrTb"/>
            <w:noWrap w:val="false"/>
          </w:tcPr>
          <w:p>
            <w:pPr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03.03.2023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framePr w:wrap="around" w:vAnchor="page" w:hAnchor="page" w:x="3892" w:y="4915"/>
            </w:pPr>
            <w:r>
              <w:rPr>
                <w:sz w:val="24"/>
                <w:szCs w:val="24"/>
              </w:rPr>
              <w:t xml:space="preserve">№ 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85/оп</w:t>
            </w:r>
            <w:r/>
          </w:p>
        </w:tc>
      </w:tr>
      <w:tr>
        <w:trPr/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rPr>
                <w:sz w:val="10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 </w:t>
            </w:r>
            <w:r/>
          </w:p>
          <w:p>
            <w:pPr>
              <w:jc w:val="center"/>
              <w:rPr>
                <w:sz w:val="24"/>
              </w:rPr>
              <w:framePr w:wrap="around" w:vAnchor="page" w:hAnchor="page" w:x="3892" w:y="4915"/>
            </w:pPr>
            <w:r>
              <w:rPr>
                <w:sz w:val="24"/>
              </w:rPr>
              <w:t xml:space="preserve">г. Пенза</w:t>
            </w:r>
            <w:r>
              <w:rPr>
                <w:b/>
                <w:sz w:val="24"/>
              </w:rPr>
              <w:t xml:space="preserve"> </w:t>
            </w:r>
            <w:r/>
          </w:p>
        </w:tc>
      </w:tr>
    </w:tbl>
    <w:p>
      <w:pPr>
        <w:jc w:val="center"/>
        <w:spacing w:line="192" w:lineRule="auto"/>
        <w:rPr>
          <w:b/>
          <w:sz w:val="30"/>
        </w:rPr>
      </w:pPr>
      <w:r>
        <w:rPr>
          <w:b/>
          <w:sz w:val="30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/>
    </w:p>
    <w:p>
      <w:pPr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</w:r>
      <w:r/>
    </w:p>
    <w:p>
      <w:pPr>
        <w:ind w:firstLine="567"/>
        <w:jc w:val="center"/>
        <w:rPr>
          <w:rFonts w:eastAsia="Calibri"/>
          <w:b/>
          <w:sz w:val="27"/>
          <w:szCs w:val="24"/>
        </w:rPr>
      </w:pPr>
      <w:r>
        <w:rPr>
          <w:rFonts w:eastAsia="Calibri"/>
          <w:b/>
          <w:sz w:val="27"/>
          <w:szCs w:val="24"/>
        </w:rPr>
        <w:t xml:space="preserve">Об утверждении Докладов о правоприменительной практике контрольной (надзорной) деятельности Министерства градостроительства и архитектуры Пензенской области за 2022 год</w:t>
      </w:r>
      <w:r/>
    </w:p>
    <w:p>
      <w:pPr>
        <w:ind w:firstLine="567"/>
        <w:jc w:val="center"/>
        <w:rPr>
          <w:rFonts w:eastAsia="Calibri"/>
          <w:sz w:val="27"/>
        </w:rPr>
      </w:pPr>
      <w:r>
        <w:rPr>
          <w:rFonts w:eastAsia="Calibri"/>
          <w:sz w:val="27"/>
        </w:rPr>
      </w:r>
      <w:r/>
    </w:p>
    <w:p>
      <w:pPr>
        <w:ind w:left="0" w:right="0" w:firstLine="567"/>
        <w:jc w:val="both"/>
        <w:rPr>
          <w:sz w:val="27"/>
        </w:rPr>
      </w:pPr>
      <w:r>
        <w:rPr>
          <w:sz w:val="27"/>
          <w:szCs w:val="28"/>
        </w:rPr>
      </w:r>
      <w:r>
        <w:rPr>
          <w:rFonts w:eastAsia="Calibri"/>
          <w:sz w:val="27"/>
          <w:szCs w:val="24"/>
        </w:rPr>
        <w:t xml:space="preserve">В соответствии со ст. 47 Федерального закона от 31.07.2020 г. № 248-ФЗ «О государственном контроле (надзоре) и муниципальном контроле в Российской Федерации»,</w:t>
      </w:r>
      <w:r>
        <w:rPr>
          <w:sz w:val="27"/>
          <w:szCs w:val="28"/>
        </w:rPr>
        <w:t xml:space="preserve"> руководствуясь постановлением Правительства Пензенской област</w:t>
      </w:r>
      <w:r>
        <w:rPr>
          <w:sz w:val="27"/>
          <w:szCs w:val="28"/>
          <w:highlight w:val="white"/>
        </w:rPr>
        <w:t xml:space="preserve">и от 20.01.2022 г. № 29-пП «Об</w:t>
      </w:r>
      <w:r>
        <w:rPr>
          <w:sz w:val="27"/>
          <w:szCs w:val="28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b/>
          <w:sz w:val="27"/>
          <w:szCs w:val="28"/>
        </w:rPr>
        <w:t xml:space="preserve">п</w:t>
      </w:r>
      <w:r>
        <w:rPr>
          <w:b/>
          <w:sz w:val="27"/>
          <w:szCs w:val="28"/>
        </w:rPr>
        <w:t xml:space="preserve"> р и к а з ы в а ю: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sz w:val="27"/>
          <w:szCs w:val="28"/>
        </w:rPr>
        <w:t xml:space="preserve">1.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строительного надзора на территории Пензенской области за 2022 год.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2. Утвердить </w:t>
      </w:r>
      <w:r>
        <w:rPr>
          <w:rFonts w:eastAsia="Calibri"/>
          <w:sz w:val="27"/>
          <w:szCs w:val="24"/>
        </w:rPr>
        <w:t xml:space="preserve">Доклад о правоприменительной практике 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rFonts w:eastAsia="Calibri"/>
          <w:sz w:val="27"/>
          <w:szCs w:val="24"/>
        </w:rPr>
      </w:pPr>
      <w:r>
        <w:rPr>
          <w:rFonts w:eastAsia="Calibri"/>
          <w:sz w:val="27"/>
          <w:szCs w:val="24"/>
        </w:rPr>
        <w:t xml:space="preserve">3. Утвердить Доклад о правоприменительной практике при осуществлении </w:t>
      </w:r>
      <w:r>
        <w:rPr>
          <w:rFonts w:eastAsia="Calibri"/>
          <w:sz w:val="27"/>
          <w:szCs w:val="27"/>
        </w:rPr>
        <w:t xml:space="preserve"> государственного контроля </w:t>
      </w:r>
      <w:r>
        <w:rPr>
          <w:rFonts w:eastAsia="Calibri"/>
          <w:sz w:val="27"/>
          <w:szCs w:val="27"/>
        </w:rPr>
        <w:t xml:space="preserve">(надзора) в области долевого строительства многоквартирных домов и (или) иных объектов недвижимости, а также за деятельностью жилищно-строительных кооперативов, связанной со строительством многоквартирных домов, на территории Пензенской области за 2022 год</w:t>
      </w:r>
      <w:r>
        <w:rPr>
          <w:rFonts w:eastAsia="Calibri"/>
          <w:sz w:val="27"/>
          <w:szCs w:val="24"/>
        </w:rPr>
        <w:t xml:space="preserve">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4. Настоящий приказ разместить (опубликовать) на официальном сайте Министерства градостроительства и архитектуры Пензенской области в информационно-телекоммуникационной сети «Интернет».</w:t>
      </w:r>
      <w:r/>
    </w:p>
    <w:p>
      <w:pPr>
        <w:ind w:firstLine="567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5. Контроль за исполнением настоящего приказа возложить на Управление (Инспекцию) государственного строительного надзора, долевого строительства и </w:t>
      </w:r>
      <w:r>
        <w:rPr>
          <w:sz w:val="27"/>
          <w:szCs w:val="28"/>
        </w:rPr>
        <w:t xml:space="preserve">сохранности</w:t>
      </w:r>
      <w:r>
        <w:rPr>
          <w:sz w:val="27"/>
          <w:szCs w:val="28"/>
        </w:rPr>
        <w:t xml:space="preserve"> автомобильных дорог.</w:t>
      </w:r>
      <w:r/>
    </w:p>
    <w:p>
      <w:pPr>
        <w:jc w:val="both"/>
        <w:spacing w:line="276" w:lineRule="auto"/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114"/>
        <w:gridCol w:w="4740"/>
      </w:tblGrid>
      <w:tr>
        <w:trPr/>
        <w:tc>
          <w:tcPr>
            <w:tcW w:w="5211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both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</w:rPr>
              <w:t xml:space="preserve">Министр</w:t>
            </w:r>
            <w:r/>
          </w:p>
        </w:tc>
        <w:tc>
          <w:tcPr>
            <w:tcW w:w="4820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  <w:p>
            <w:pPr>
              <w:jc w:val="right"/>
              <w:spacing w:line="276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А.П. Итальянцев </w:t>
            </w:r>
            <w:r/>
          </w:p>
        </w:tc>
      </w:tr>
    </w:tbl>
    <w:p>
      <w:pPr>
        <w:jc w:val="right"/>
        <w:rPr>
          <w:sz w:val="24"/>
          <w:szCs w:val="4"/>
        </w:rPr>
      </w:pPr>
      <w:r>
        <w:rPr>
          <w:sz w:val="24"/>
          <w:szCs w:val="4"/>
        </w:rPr>
      </w:r>
      <w:r/>
    </w:p>
    <w:p>
      <w:pPr>
        <w:jc w:val="right"/>
      </w:pPr>
      <w:r>
        <w:rPr>
          <w:sz w:val="24"/>
          <w:szCs w:val="4"/>
        </w:rPr>
        <w:t xml:space="preserve">Приложение №2</w:t>
      </w:r>
      <w:r/>
    </w:p>
    <w:p>
      <w:pPr>
        <w:jc w:val="right"/>
      </w:pPr>
      <w:r>
        <w:rPr>
          <w:sz w:val="24"/>
          <w:szCs w:val="4"/>
        </w:rPr>
        <w:t xml:space="preserve">к приказу</w:t>
      </w:r>
      <w:r/>
    </w:p>
    <w:p>
      <w:pPr>
        <w:jc w:val="right"/>
      </w:pPr>
      <w:r>
        <w:rPr>
          <w:sz w:val="24"/>
          <w:szCs w:val="4"/>
        </w:rPr>
        <w:t xml:space="preserve">Министерства градостроительства</w:t>
      </w:r>
      <w:r/>
    </w:p>
    <w:p>
      <w:pPr>
        <w:jc w:val="right"/>
      </w:pPr>
      <w:r>
        <w:rPr>
          <w:sz w:val="24"/>
          <w:szCs w:val="4"/>
        </w:rPr>
        <w:t xml:space="preserve">и архитектуры</w:t>
      </w:r>
      <w:r/>
    </w:p>
    <w:p>
      <w:pPr>
        <w:jc w:val="right"/>
      </w:pPr>
      <w:r>
        <w:rPr>
          <w:sz w:val="24"/>
          <w:szCs w:val="4"/>
        </w:rPr>
        <w:t xml:space="preserve">Пензенской области</w:t>
      </w:r>
      <w:r/>
    </w:p>
    <w:p>
      <w:pPr>
        <w:jc w:val="right"/>
      </w:pPr>
      <w:r>
        <w:rPr>
          <w:sz w:val="24"/>
          <w:szCs w:val="4"/>
        </w:rPr>
        <w:t xml:space="preserve">                                                                                                       </w:t>
      </w:r>
      <w:r>
        <w:rPr>
          <w:sz w:val="24"/>
          <w:szCs w:val="4"/>
        </w:rPr>
        <w:t xml:space="preserve"> от «03» марта 2023 №85/оп</w:t>
      </w:r>
      <w:r>
        <w:rPr>
          <w:sz w:val="24"/>
          <w:szCs w:val="4"/>
        </w:rPr>
      </w:r>
      <w:r/>
    </w:p>
    <w:p>
      <w:pPr>
        <w:jc w:val="center"/>
      </w:pPr>
      <w:r>
        <w:rPr>
          <w:sz w:val="24"/>
          <w:szCs w:val="4"/>
        </w:rPr>
        <w:t xml:space="preserve">            </w:t>
      </w:r>
      <w:r/>
    </w:p>
    <w:p>
      <w:pPr>
        <w:ind w:firstLine="567"/>
        <w:jc w:val="both"/>
        <w:rPr>
          <w:b/>
          <w:color w:val="000000"/>
          <w:sz w:val="28"/>
          <w:szCs w:val="4"/>
        </w:rPr>
      </w:pPr>
      <w:r>
        <w:rPr>
          <w:b/>
          <w:color w:val="000000"/>
          <w:sz w:val="28"/>
          <w:szCs w:val="4"/>
        </w:rPr>
      </w:r>
      <w:r/>
    </w:p>
    <w:p>
      <w:pPr>
        <w:ind w:left="567"/>
        <w:jc w:val="both"/>
        <w:rPr>
          <w:b/>
          <w:color w:val="000000"/>
          <w:sz w:val="28"/>
          <w:szCs w:val="4"/>
        </w:rPr>
      </w:pPr>
      <w:r>
        <w:rPr>
          <w:b/>
          <w:color w:val="000000"/>
          <w:sz w:val="28"/>
          <w:szCs w:val="4"/>
        </w:rPr>
      </w:r>
      <w:r/>
    </w:p>
    <w:p>
      <w:pPr>
        <w:ind w:firstLine="567"/>
        <w:jc w:val="both"/>
        <w:tabs>
          <w:tab w:val="left" w:pos="6315" w:leader="none"/>
        </w:tabs>
        <w:rPr>
          <w:b/>
          <w:color w:val="000000"/>
          <w:sz w:val="28"/>
          <w:szCs w:val="4"/>
        </w:rPr>
      </w:pPr>
      <w:r>
        <w:rPr>
          <w:b/>
          <w:color w:val="000000"/>
          <w:sz w:val="28"/>
          <w:szCs w:val="4"/>
        </w:rPr>
      </w:r>
      <w:r/>
    </w:p>
    <w:p>
      <w:pPr>
        <w:jc w:val="center"/>
        <w:rPr>
          <w:color w:val="000000"/>
          <w:sz w:val="27"/>
          <w:szCs w:val="27"/>
        </w:rPr>
      </w:pPr>
      <w:r>
        <w:rPr>
          <w:b/>
          <w:color w:val="000000" w:themeColor="text1"/>
          <w:sz w:val="27"/>
          <w:szCs w:val="27"/>
        </w:rPr>
        <w:t xml:space="preserve">Доклад о правоприменительной практике при осуществлении </w:t>
      </w:r>
      <w:r>
        <w:rPr>
          <w:b/>
          <w:sz w:val="27"/>
          <w:szCs w:val="27"/>
        </w:rPr>
        <w:t xml:space="preserve">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 за 2022 год</w:t>
      </w:r>
      <w:r>
        <w:rPr>
          <w:sz w:val="27"/>
          <w:szCs w:val="27"/>
        </w:rPr>
      </w:r>
      <w:r/>
    </w:p>
    <w:p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sz w:val="27"/>
          <w:szCs w:val="27"/>
        </w:rPr>
      </w:r>
      <w:r/>
    </w:p>
    <w:p>
      <w:pPr>
        <w:jc w:val="center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Раздел </w:t>
      </w:r>
      <w:r>
        <w:rPr>
          <w:b/>
          <w:color w:val="000000"/>
          <w:sz w:val="27"/>
          <w:szCs w:val="27"/>
          <w:lang w:val="en-US"/>
        </w:rPr>
        <w:t xml:space="preserve">I</w:t>
      </w:r>
      <w:r>
        <w:rPr>
          <w:b/>
          <w:color w:val="000000"/>
          <w:sz w:val="27"/>
          <w:szCs w:val="27"/>
        </w:rPr>
        <w:t xml:space="preserve">. Общие положения</w:t>
      </w:r>
      <w:r>
        <w:rPr>
          <w:sz w:val="27"/>
          <w:szCs w:val="27"/>
        </w:rPr>
      </w:r>
      <w:r/>
    </w:p>
    <w:p>
      <w:pPr>
        <w:jc w:val="both"/>
        <w:tabs>
          <w:tab w:val="left" w:pos="6315" w:leader="none"/>
        </w:tabs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  <w:r>
        <w:rPr>
          <w:sz w:val="27"/>
          <w:szCs w:val="27"/>
        </w:rPr>
      </w:r>
      <w:r/>
    </w:p>
    <w:p>
      <w:pPr>
        <w:tabs>
          <w:tab w:val="left" w:pos="6315" w:leader="none"/>
        </w:tabs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62"/>
        <w:numPr>
          <w:ilvl w:val="0"/>
          <w:numId w:val="13"/>
        </w:numPr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Обзор правоприменительной практики контрольной (надзорной) деятельности при осуществлении регионального государственного контроля (надзора) </w:t>
      </w:r>
      <w:r>
        <w:rPr>
          <w:sz w:val="27"/>
          <w:szCs w:val="27"/>
          <w:highlight w:val="white"/>
        </w:rPr>
        <w:t xml:space="preserve">за обеспечением сохранности автомобильных дорог регионального и межмуниципального значения Пензенской области</w:t>
      </w:r>
      <w:r>
        <w:rPr>
          <w:sz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Министерством градостроительства и архитектуры Пензенской области (далее - </w:t>
      </w:r>
      <w:r>
        <w:rPr>
          <w:color w:val="000000" w:themeColor="text1"/>
          <w:sz w:val="27"/>
          <w:szCs w:val="27"/>
        </w:rPr>
        <w:t xml:space="preserve">Минград</w:t>
      </w:r>
      <w:r>
        <w:rPr>
          <w:color w:val="000000" w:themeColor="text1"/>
          <w:sz w:val="27"/>
          <w:szCs w:val="27"/>
        </w:rPr>
        <w:t xml:space="preserve"> Пензенской области) подготовлен в соответствии со статьей 47 Федерального закона от 31 июля 2020 №248-ФЗ «О государственном контроле (надзоре) и муниципальном контроле в Российской Федерации (далее - Федеральный закон №248-ФЗ).</w:t>
      </w:r>
      <w:r>
        <w:rPr>
          <w:sz w:val="27"/>
          <w:szCs w:val="27"/>
        </w:rPr>
      </w:r>
      <w:r/>
    </w:p>
    <w:p>
      <w:pPr>
        <w:pStyle w:val="862"/>
        <w:numPr>
          <w:ilvl w:val="0"/>
          <w:numId w:val="13"/>
        </w:numPr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Согласно постановлению Прави</w:t>
      </w:r>
      <w:r>
        <w:rPr>
          <w:color w:val="000000" w:themeColor="text1"/>
          <w:sz w:val="27"/>
          <w:szCs w:val="27"/>
        </w:rPr>
        <w:t xml:space="preserve">тельства Пензенской обл. от 24.09.2021 №629-пП «О внесении изменений в Положение о Министерстве строительства и дорожного хозяйства Пензенской области, утвержденное постановлением Правительства Пензенской области от 23.01.2017 №13-пП (с последующими измене</w:t>
      </w:r>
      <w:r>
        <w:rPr>
          <w:color w:val="000000" w:themeColor="text1"/>
          <w:sz w:val="27"/>
          <w:szCs w:val="27"/>
        </w:rPr>
        <w:t xml:space="preserve">ниями), и признании утратившими силу отдельных нормативных правовых актов Правительства Пензенской области» Минстрой Пензенской области являлось правопреемником по правам и обязанностям Управления государственной инспекции в жилищной, строительной сферах и</w:t>
      </w:r>
      <w:r>
        <w:rPr>
          <w:color w:val="000000" w:themeColor="text1"/>
          <w:sz w:val="27"/>
          <w:szCs w:val="27"/>
        </w:rPr>
        <w:t xml:space="preserve"> по надзору за техническим состоянием самоходных машин и других видов техники Пензенской области, за</w:t>
      </w:r>
      <w:r>
        <w:rPr>
          <w:color w:val="000000" w:themeColor="text1"/>
          <w:sz w:val="27"/>
          <w:szCs w:val="27"/>
        </w:rPr>
        <w:t xml:space="preserve"> исключением вопросов, относящихся к сфере осуществления регионального государственного жилищного надзора, а также регионального государственного надзора в области технического состояния и эксплуатации самоходных машин и других видов техники, аттракционов.</w:t>
      </w:r>
      <w:r>
        <w:rPr>
          <w:sz w:val="27"/>
          <w:szCs w:val="27"/>
        </w:rPr>
      </w:r>
      <w:r/>
    </w:p>
    <w:p>
      <w:pPr>
        <w:ind w:firstLine="567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В соответствии с </w:t>
      </w:r>
      <w:r>
        <w:rPr>
          <w:sz w:val="27"/>
          <w:szCs w:val="27"/>
        </w:rPr>
        <w:t xml:space="preserve">постановлением Правительства Пензенской област</w:t>
      </w:r>
      <w:r>
        <w:rPr>
          <w:sz w:val="27"/>
          <w:szCs w:val="27"/>
          <w:highlight w:val="white"/>
        </w:rPr>
        <w:t xml:space="preserve">и от 20.01.2022 г. № 29-пП «Об</w:t>
      </w:r>
      <w:r>
        <w:rPr>
          <w:sz w:val="27"/>
          <w:szCs w:val="27"/>
        </w:rPr>
        <w:t xml:space="preserve"> утверждении Положения о Министерстве градостроительства и архитектуры Пензенской области» </w:t>
      </w:r>
      <w:r>
        <w:rPr>
          <w:color w:val="000000" w:themeColor="text1"/>
          <w:sz w:val="27"/>
          <w:szCs w:val="27"/>
        </w:rPr>
        <w:t xml:space="preserve">Минград</w:t>
      </w:r>
      <w:r>
        <w:rPr>
          <w:color w:val="000000" w:themeColor="text1"/>
          <w:sz w:val="27"/>
          <w:szCs w:val="27"/>
        </w:rPr>
        <w:t xml:space="preserve"> Пензенской области является  исполнительным органом государственной власти Пензенской области, уп</w:t>
      </w:r>
      <w:r>
        <w:rPr>
          <w:color w:val="000000" w:themeColor="text1"/>
          <w:sz w:val="27"/>
          <w:szCs w:val="27"/>
        </w:rPr>
        <w:t xml:space="preserve">олномоченным осуществлять  региональный государственный контроль (надзора) на автомобильном транспорте, городском, наземном электрическом транспорте и в дорожном хозяйстве в части соблюдения обязательных требований в области автомобильных дорог и дорожной </w:t>
      </w:r>
      <w:r>
        <w:rPr>
          <w:color w:val="000000" w:themeColor="text1"/>
          <w:sz w:val="27"/>
          <w:szCs w:val="27"/>
        </w:rPr>
        <w:t xml:space="preserve">деятельности</w:t>
      </w:r>
      <w:r>
        <w:rPr>
          <w:color w:val="000000" w:themeColor="text1"/>
          <w:sz w:val="27"/>
          <w:szCs w:val="27"/>
        </w:rPr>
        <w:t xml:space="preserve">, установленных в отношении автомобильных дорог регионального и межмуниципального значения.</w:t>
      </w:r>
      <w:r>
        <w:rPr>
          <w:sz w:val="27"/>
          <w:szCs w:val="27"/>
        </w:rPr>
      </w:r>
      <w:r/>
    </w:p>
    <w:p>
      <w:pPr>
        <w:ind w:firstLine="567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Минград</w:t>
      </w:r>
      <w:r>
        <w:rPr>
          <w:color w:val="000000" w:themeColor="text1"/>
          <w:sz w:val="27"/>
          <w:szCs w:val="27"/>
        </w:rPr>
        <w:t xml:space="preserve"> Пензенской облас</w:t>
      </w:r>
      <w:r>
        <w:rPr>
          <w:color w:val="000000" w:themeColor="text1"/>
          <w:sz w:val="27"/>
          <w:szCs w:val="27"/>
        </w:rPr>
        <w:t xml:space="preserve">ти является правопреемником по правам и обязанностям Министерства строительства и дорожного хозяйства Пензенской области (далее - Минстрой Пензенской области) по вопросам осуществления регионального государственного контроля (надзора) в дорожном хозяйстве.</w:t>
      </w:r>
      <w:r>
        <w:rPr>
          <w:sz w:val="27"/>
          <w:szCs w:val="27"/>
        </w:rPr>
      </w:r>
      <w:r/>
    </w:p>
    <w:p>
      <w:pPr>
        <w:ind w:firstLine="567"/>
        <w:jc w:val="both"/>
        <w:rPr>
          <w:color w:val="000000"/>
          <w:sz w:val="27"/>
          <w:szCs w:val="27"/>
          <w:highlight w:val="white"/>
        </w:rPr>
      </w:pPr>
      <w:r>
        <w:rPr>
          <w:color w:val="000000" w:themeColor="text1"/>
          <w:sz w:val="27"/>
          <w:szCs w:val="27"/>
          <w:highlight w:val="white"/>
        </w:rPr>
      </w:r>
      <w:r>
        <w:rPr>
          <w:color w:val="000000" w:themeColor="text1"/>
          <w:sz w:val="27"/>
          <w:szCs w:val="27"/>
          <w:highlight w:val="white"/>
        </w:rPr>
        <w:t xml:space="preserve">Министерство строительства и дорожного хозяйства Пензенской области являлись контрольными (надзорными) органами, который осуществлял</w:t>
      </w:r>
      <w:r>
        <w:rPr>
          <w:color w:val="000000" w:themeColor="text1"/>
          <w:sz w:val="27"/>
          <w:szCs w:val="27"/>
          <w:highlight w:val="none"/>
        </w:rPr>
        <w:t xml:space="preserve"> </w:t>
      </w:r>
      <w:r>
        <w:rPr>
          <w:color w:val="000000" w:themeColor="text1"/>
          <w:sz w:val="27"/>
          <w:szCs w:val="27"/>
          <w:highlight w:val="none"/>
        </w:rPr>
        <w:t xml:space="preserve">региональный государственный контроль (надзор) на автомобильном транспорте, городском наземном электрическом транспорте и в дорожном хозяйстве на территории Пензенской области</w:t>
      </w:r>
      <w:r>
        <w:rPr>
          <w:sz w:val="27"/>
          <w:szCs w:val="27"/>
          <w:highlight w:val="none"/>
        </w:rPr>
        <w:t xml:space="preserve"> в части </w:t>
      </w:r>
      <w:r>
        <w:rPr>
          <w:sz w:val="27"/>
          <w:szCs w:val="27"/>
          <w:highlight w:val="white"/>
        </w:rPr>
        <w:t xml:space="preserve">обеспечения сохранности автомобильных дорог регионального и межмуниципального значения Пензенской области</w:t>
      </w:r>
      <w:r>
        <w:rPr>
          <w:color w:val="000000" w:themeColor="text1"/>
          <w:sz w:val="27"/>
          <w:szCs w:val="27"/>
          <w:highlight w:val="none"/>
        </w:rPr>
        <w:t xml:space="preserve"> в 2022 год</w:t>
      </w:r>
      <w:r>
        <w:rPr>
          <w:color w:val="000000" w:themeColor="text1"/>
          <w:sz w:val="27"/>
          <w:szCs w:val="27"/>
          <w:highlight w:val="none"/>
        </w:rPr>
        <w:t xml:space="preserve">у</w:t>
      </w:r>
      <w:r>
        <w:rPr>
          <w:color w:val="000000" w:themeColor="text1"/>
          <w:sz w:val="27"/>
          <w:szCs w:val="27"/>
          <w:highlight w:val="none"/>
        </w:rPr>
        <w:t xml:space="preserve">.</w:t>
      </w:r>
      <w:r>
        <w:rPr>
          <w:color w:val="000000"/>
          <w:sz w:val="27"/>
          <w:szCs w:val="27"/>
        </w:rPr>
      </w:r>
      <w:r/>
    </w:p>
    <w:p>
      <w:pPr>
        <w:ind w:firstLine="567"/>
        <w:jc w:val="center"/>
        <w:rPr>
          <w:b/>
          <w:bCs/>
          <w:sz w:val="27"/>
          <w:szCs w:val="27"/>
        </w:rPr>
      </w:pPr>
      <w:r>
        <w:rPr>
          <w:b/>
          <w:sz w:val="27"/>
          <w:szCs w:val="27"/>
          <w:highlight w:val="none"/>
        </w:rPr>
      </w:r>
      <w:r>
        <w:rPr>
          <w:b/>
          <w:sz w:val="27"/>
          <w:szCs w:val="27"/>
          <w:highlight w:val="none"/>
        </w:rPr>
      </w:r>
      <w:r/>
    </w:p>
    <w:p>
      <w:pPr>
        <w:ind w:firstLine="567"/>
        <w:jc w:val="center"/>
        <w:rPr>
          <w:b/>
          <w:bCs/>
          <w:sz w:val="27"/>
          <w:szCs w:val="27"/>
          <w:highlight w:val="none"/>
        </w:rPr>
      </w:pPr>
      <w:r>
        <w:rPr>
          <w:b/>
          <w:sz w:val="27"/>
          <w:szCs w:val="27"/>
        </w:rPr>
        <w:t xml:space="preserve">Раздел II. Правоприменительная практика организации и проведения государственного контроля (надзора)</w:t>
      </w:r>
      <w:r>
        <w:rPr>
          <w:sz w:val="27"/>
          <w:szCs w:val="27"/>
        </w:rPr>
      </w:r>
      <w:r/>
    </w:p>
    <w:p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sz w:val="27"/>
          <w:szCs w:val="27"/>
        </w:rPr>
      </w:r>
      <w:r/>
    </w:p>
    <w:p>
      <w:pPr>
        <w:ind w:firstLine="567"/>
        <w:jc w:val="both"/>
        <w:rPr>
          <w:sz w:val="27"/>
          <w:szCs w:val="27"/>
        </w:rPr>
      </w:pPr>
      <w:r>
        <w:rPr>
          <w:sz w:val="27"/>
        </w:rPr>
        <w:t xml:space="preserve">С 1 июля 2021 года вступил в силу Федеральный закон № 248-ФЗ, </w:t>
      </w:r>
      <w:r>
        <w:rPr>
          <w:sz w:val="27"/>
        </w:rPr>
        <w:t xml:space="preserve">согласно пункта</w:t>
      </w:r>
      <w:r>
        <w:rPr>
          <w:sz w:val="27"/>
        </w:rPr>
        <w:t xml:space="preserve"> 3 части 2 статьи 3 которог</w:t>
      </w:r>
      <w:r>
        <w:rPr>
          <w:sz w:val="27"/>
        </w:rPr>
        <w:t xml:space="preserve">о, порядок организации и осуществления государственного контроля (надзора) устанавливается положением о виде регионального государственного контроля (надзора), утверждаемым высшим исполнительным органом государственной власти субъекта Российской Федерации.</w:t>
      </w:r>
      <w:r>
        <w:rPr>
          <w:sz w:val="27"/>
          <w:szCs w:val="27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7"/>
          <w:szCs w:val="27"/>
        </w:rPr>
        <w:t xml:space="preserve">Часть 4 ста</w:t>
      </w:r>
      <w:r>
        <w:rPr>
          <w:rFonts w:ascii="Times New Roman" w:hAnsi="Times New Roman" w:cs="Times New Roman"/>
          <w:sz w:val="27"/>
          <w:szCs w:val="27"/>
        </w:rPr>
        <w:t xml:space="preserve">тьи 98 Федерального закона № 248-ФЗ предусматривает, что Положения о видах регионального государственного контроля (надзора) подлежат утверждению до 1 января 2022 года. </w:t>
      </w:r>
      <w:r/>
    </w:p>
    <w:p>
      <w:pPr>
        <w:ind w:firstLine="567"/>
        <w:jc w:val="both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  <w:t xml:space="preserve">С 23 декабря 2021 вступило в силу постановление Правит</w:t>
      </w:r>
      <w:r>
        <w:rPr>
          <w:sz w:val="27"/>
          <w:szCs w:val="27"/>
          <w:highlight w:val="white"/>
        </w:rPr>
        <w:t xml:space="preserve">ельства Пензенской области от 23.12.2021 № 902-пП «Об 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области».</w:t>
      </w:r>
      <w:r>
        <w:rPr>
          <w:sz w:val="27"/>
          <w:szCs w:val="27"/>
        </w:rPr>
      </w:r>
      <w:r/>
    </w:p>
    <w:p>
      <w:pPr>
        <w:ind w:firstLine="567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none"/>
        </w:rPr>
        <w:t xml:space="preserve">П</w:t>
      </w:r>
      <w:r>
        <w:rPr>
          <w:sz w:val="27"/>
          <w:szCs w:val="27"/>
          <w:highlight w:val="white"/>
        </w:rPr>
        <w:t xml:space="preserve">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области, </w:t>
      </w:r>
      <w:r>
        <w:rPr>
          <w:rFonts w:ascii="Times New Roman" w:hAnsi="Times New Roman" w:cs="Times New Roman"/>
          <w:sz w:val="27"/>
          <w:szCs w:val="27"/>
        </w:rPr>
        <w:t xml:space="preserve">контрольный (надзорный) орган применяет нормы следующих нормативно-правовых </w:t>
      </w:r>
      <w:r>
        <w:rPr>
          <w:rFonts w:ascii="Times New Roman" w:hAnsi="Times New Roman" w:cs="Times New Roman"/>
          <w:sz w:val="27"/>
          <w:szCs w:val="27"/>
        </w:rPr>
        <w:t xml:space="preserve">актов: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szCs w:val="27"/>
          <w:highlight w:val="white"/>
        </w:rPr>
        <w:t xml:space="preserve"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  <w:t xml:space="preserve">Федеральным законом</w:t>
      </w:r>
      <w:r>
        <w:rPr>
          <w:sz w:val="27"/>
          <w:szCs w:val="27"/>
          <w:highlight w:val="white"/>
        </w:rPr>
        <w:t xml:space="preserve"> от 31.07.2020 № 248-ФЗ (ред. от 05.12.2022) «О государственном контроле (надзоре) и муниципальном контроле в Российской Федерации</w:t>
      </w:r>
      <w:r>
        <w:rPr>
          <w:sz w:val="27"/>
          <w:szCs w:val="27"/>
          <w:highlight w:val="none"/>
        </w:rPr>
        <w:t xml:space="preserve">»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szCs w:val="27"/>
          <w:highlight w:val="white"/>
        </w:rPr>
        <w:t xml:space="preserve">Федеральным законом от 2 мая 2006 года № 59-ФЗ «О порядке рассмотрения обращений граждан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</w:pPr>
      <w:r>
        <w:rPr>
          <w:sz w:val="27"/>
          <w:szCs w:val="27"/>
          <w:highlight w:val="white"/>
        </w:rPr>
        <w:t xml:space="preserve">Федеральным законом от 31 июля 2020 года № 247-ФЗ «Об обязательных требованиях в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  <w:t xml:space="preserve">П</w:t>
      </w:r>
      <w:r>
        <w:rPr>
          <w:sz w:val="27"/>
          <w:szCs w:val="27"/>
          <w:highlight w:val="white"/>
        </w:rPr>
        <w:t xml:space="preserve">остановление Правительства РФ от 08.09.2021 № 1520 «Об особенностях проведения в 2022 году плановых контрольных (надзорных) мероприятий, плановых проверок в отношении субъектов малого предпринимательства и о внесении изменений в некоторые акты Правительств</w:t>
      </w:r>
      <w:r>
        <w:rPr>
          <w:sz w:val="27"/>
          <w:szCs w:val="27"/>
          <w:highlight w:val="white"/>
        </w:rPr>
        <w:t xml:space="preserve">а Российской Федерации»;</w:t>
      </w:r>
      <w:r>
        <w:rPr>
          <w:sz w:val="27"/>
          <w:szCs w:val="27"/>
          <w:highlight w:val="white"/>
        </w:rPr>
      </w:r>
      <w:r/>
    </w:p>
    <w:p>
      <w:pPr>
        <w:ind w:firstLine="567"/>
        <w:jc w:val="both"/>
        <w:rPr>
          <w:highlight w:val="white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  <w:t xml:space="preserve">П</w:t>
      </w:r>
      <w:r>
        <w:rPr>
          <w:sz w:val="27"/>
          <w:szCs w:val="27"/>
          <w:highlight w:val="white"/>
        </w:rPr>
        <w:t xml:space="preserve">риказ Министерства экономического развития Российской Федерации от 31 марта 2021 года № 151 «О типовых формах документов, используемых контрольным (надзорным</w:t>
      </w:r>
      <w:r>
        <w:rPr>
          <w:sz w:val="27"/>
          <w:szCs w:val="27"/>
          <w:highlight w:val="white"/>
        </w:rPr>
        <w:t xml:space="preserve">) органом»</w:t>
      </w:r>
      <w:r>
        <w:rPr>
          <w:sz w:val="27"/>
          <w:szCs w:val="27"/>
          <w:highlight w:val="none"/>
        </w:rPr>
        <w:t xml:space="preserve">.</w:t>
      </w:r>
      <w:r>
        <w:rPr>
          <w:sz w:val="27"/>
          <w:szCs w:val="27"/>
          <w:highlight w:val="none"/>
        </w:rPr>
      </w:r>
      <w:r/>
    </w:p>
    <w:p>
      <w:pPr>
        <w:contextualSpacing/>
        <w:ind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Контрольным (надзорным) органом </w:t>
      </w:r>
      <w:r>
        <w:rPr>
          <w:sz w:val="27"/>
          <w:szCs w:val="27"/>
          <w:highlight w:val="white"/>
        </w:rPr>
        <w:t xml:space="preserve">осуществлялся региональный государственный контроль (надзор) за обеспечением сохранности автомобильных дорог регионального и межмуниципального значения Пензенской области.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  <w:highlight w:val="white"/>
        </w:rPr>
        <w:t xml:space="preserve">Протяженность дорог регионального и межмуниципально</w:t>
      </w:r>
      <w:r>
        <w:rPr>
          <w:sz w:val="27"/>
          <w:szCs w:val="27"/>
        </w:rPr>
        <w:t xml:space="preserve">го значения в Пензенской области составляет 3546,408 км. На данный момент содержание данных дорог на территории Пензенской области осуществляют 50 организаций.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  <w:t xml:space="preserve">В соответствии с</w:t>
      </w:r>
      <w:r>
        <w:rPr>
          <w:sz w:val="27"/>
          <w:szCs w:val="27"/>
        </w:rPr>
        <w:t xml:space="preserve"> Постановлением </w:t>
      </w:r>
      <w:r>
        <w:rPr>
          <w:sz w:val="27"/>
          <w:szCs w:val="27"/>
          <w:highlight w:val="white"/>
        </w:rPr>
        <w:t xml:space="preserve">Правительства РФ от 08.09.2021 № 1520 "Об особенностях проведения в 2022 году плановых контрольных (надзорных) мероприятий, плановых проверок в отношении субъектов малого предпринимательства и о внесении изменений в некоторые акты Правительств</w:t>
      </w:r>
      <w:r>
        <w:rPr>
          <w:sz w:val="27"/>
          <w:szCs w:val="27"/>
          <w:highlight w:val="white"/>
        </w:rPr>
        <w:t xml:space="preserve">а Российской Федерации"</w:t>
      </w:r>
      <w:r>
        <w:rPr>
          <w:sz w:val="27"/>
          <w:szCs w:val="27"/>
        </w:rPr>
        <w:t xml:space="preserve">.</w:t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  <w:t xml:space="preserve">В подпункт "а" пункта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</w:t>
      </w:r>
      <w:r>
        <w:rPr>
          <w:sz w:val="27"/>
          <w:szCs w:val="27"/>
          <w:highlight w:val="none"/>
        </w:rPr>
        <w:t xml:space="preserve">а</w:t>
      </w:r>
      <w:r>
        <w:rPr>
          <w:sz w:val="27"/>
          <w:szCs w:val="27"/>
          <w:highlight w:val="none"/>
        </w:rPr>
        <w:t xml:space="preserve">новлением Правительства Российской Федерации от 30 июня 2010 г. №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</w:t>
      </w:r>
      <w:r>
        <w:rPr>
          <w:sz w:val="27"/>
          <w:szCs w:val="27"/>
          <w:highlight w:val="none"/>
        </w:rPr>
        <w:t xml:space="preserve">альных предпринимателей"</w:t>
      </w:r>
      <w:r>
        <w:rPr>
          <w:sz w:val="27"/>
          <w:szCs w:val="27"/>
          <w:highlight w:val="none"/>
        </w:rPr>
        <w:t xml:space="preserve"> внесены изменения в связи с которыми </w:t>
      </w:r>
      <w:r>
        <w:rPr>
          <w:sz w:val="27"/>
          <w:szCs w:val="27"/>
          <w:highlight w:val="none"/>
        </w:rPr>
        <w:t xml:space="preserve">п</w:t>
      </w:r>
      <w:r>
        <w:rPr>
          <w:sz w:val="27"/>
          <w:szCs w:val="27"/>
          <w:highlight w:val="none"/>
        </w:rPr>
        <w:t xml:space="preserve">лановые контрольные (надзорные) мероприятия, плановые проверки при осуществлении видов государственного контроля (надзора), порядок организации и осуществления которых регулируется Федеральным законом "О государственном контроле (надзоре) и муниципальном к</w:t>
      </w:r>
      <w:r>
        <w:rPr>
          <w:sz w:val="27"/>
          <w:szCs w:val="27"/>
          <w:highlight w:val="none"/>
        </w:rPr>
        <w:t xml:space="preserve">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в 2022 году не проводятся.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этом организации, осуществляющие деятельность в отношении автомобильных дорог на территории Пензенской области, относятся к субъектам малого предпринимательства.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связи с этим, плановые проверки в 2022г. не проводились. 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Внеплановые проверки также не проводились в связи отсутствием информации от органов государственной власти, органов местного самоуправления, из средств массовой информации фактах возникновение угрозы причинения вреда жизни, здоровью граждан.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осуществления регионального государственного надзора проводятся рейдовые мероприятия по обследованию состояния дорог регионального и межмуниципального значения Пензенской области и </w:t>
      </w:r>
      <w:r>
        <w:rPr>
          <w:sz w:val="27"/>
          <w:szCs w:val="27"/>
        </w:rPr>
        <w:t xml:space="preserve">контролю за</w:t>
      </w:r>
      <w:r>
        <w:rPr>
          <w:sz w:val="27"/>
          <w:szCs w:val="27"/>
        </w:rPr>
        <w:t xml:space="preserve"> выполнением подрядными организациями мероприятий по содержанию автомобильных дорог регионального и межмуниципального значения Пензенской области. 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 12 месяцев 2022 года </w:t>
      </w:r>
      <w:r>
        <w:rPr>
          <w:sz w:val="27"/>
          <w:szCs w:val="27"/>
        </w:rPr>
        <w:t xml:space="preserve">в рамках осуществления регионального государственного надзора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с соблюдением Постановления Правительства Российской Федерации от 10.03.2022 № 336 «Об особенностях организации и ос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уществления государственного контроля (надзора), муниципального контроля» предусмотрены ограничения на проведение плановых и внеплановых проверок (контрольных (надзорных) мероприятий)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проведены следующие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 профилактические мероприяти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я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: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 20 консультирований</w:t>
      </w:r>
      <w:r>
        <w:rPr>
          <w:rFonts w:ascii="Times New Roman" w:hAnsi="Times New Roman" w:cs="Times New Roman"/>
          <w:sz w:val="27"/>
          <w:szCs w:val="27"/>
          <w:highlight w:val="none"/>
        </w:rPr>
        <w:t xml:space="preserve">,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highlight w:val="white"/>
        </w:rPr>
        <w:t xml:space="preserve">4 наблюдения за соблюдением обязательных требований</w:t>
      </w:r>
      <w:r>
        <w:rPr>
          <w:sz w:val="27"/>
          <w:szCs w:val="27"/>
        </w:rPr>
        <w:t xml:space="preserve"> без взаимодействия с юридическим лицом в отношении организаций, осуществляющих содержание автомобильных дорог в </w:t>
      </w:r>
      <w:r>
        <w:rPr>
          <w:sz w:val="27"/>
          <w:szCs w:val="27"/>
        </w:rPr>
        <w:t xml:space="preserve">Нижнеломовском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Наровчатском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Колышлейском</w:t>
      </w:r>
      <w:r>
        <w:rPr>
          <w:sz w:val="27"/>
          <w:szCs w:val="27"/>
        </w:rPr>
        <w:t xml:space="preserve">, Сердобском Вадинском, </w:t>
      </w:r>
      <w:r>
        <w:rPr>
          <w:sz w:val="27"/>
          <w:szCs w:val="27"/>
        </w:rPr>
        <w:t xml:space="preserve">Земетчинском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Тамалинском</w:t>
      </w:r>
      <w:r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Камешкирском</w:t>
      </w:r>
      <w:r>
        <w:rPr>
          <w:sz w:val="27"/>
          <w:szCs w:val="27"/>
        </w:rPr>
        <w:t xml:space="preserve"> районах Пензенской области. По итогам проведенных мероприятий обследовано </w:t>
      </w:r>
      <w:r>
        <w:rPr>
          <w:sz w:val="27"/>
          <w:szCs w:val="27"/>
        </w:rPr>
        <w:t xml:space="preserve">1524.44 км. 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втомобильных дорог регионального и межмуниципального значения Пензенской области.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  <w:t xml:space="preserve">В целях предупреждения нарушений контролируемыми лицами обязательных требований</w:t>
      </w:r>
      <w:r>
        <w:rPr>
          <w:sz w:val="27"/>
          <w:szCs w:val="27"/>
        </w:rPr>
        <w:t xml:space="preserve">, разработано Руководство</w:t>
      </w:r>
      <w:r>
        <w:rPr>
          <w:sz w:val="27"/>
          <w:szCs w:val="27"/>
        </w:rPr>
        <w:t xml:space="preserve"> по соблюдению обязательных требований, утвержденное </w:t>
      </w:r>
      <w:r>
        <w:rPr>
          <w:sz w:val="27"/>
        </w:rPr>
        <w:t xml:space="preserve">приказом </w:t>
      </w:r>
      <w:r>
        <w:rPr>
          <w:sz w:val="27"/>
        </w:rPr>
        <w:t xml:space="preserve">Министерства</w:t>
      </w:r>
      <w:r>
        <w:rPr>
          <w:sz w:val="27"/>
        </w:rPr>
        <w:t xml:space="preserve"> от </w:t>
      </w:r>
      <w:r>
        <w:rPr>
          <w:sz w:val="27"/>
        </w:rPr>
        <w:t xml:space="preserve">31</w:t>
      </w:r>
      <w:r>
        <w:rPr>
          <w:sz w:val="27"/>
        </w:rPr>
        <w:t xml:space="preserve"> </w:t>
      </w:r>
      <w:r>
        <w:rPr>
          <w:sz w:val="27"/>
        </w:rPr>
        <w:t xml:space="preserve">марта 2022</w:t>
      </w:r>
      <w:r>
        <w:rPr>
          <w:sz w:val="27"/>
        </w:rPr>
        <w:t xml:space="preserve"> года №</w:t>
      </w:r>
      <w:r>
        <w:rPr>
          <w:sz w:val="27"/>
        </w:rPr>
        <w:t xml:space="preserve">47/</w:t>
      </w:r>
      <w:r>
        <w:rPr>
          <w:sz w:val="27"/>
        </w:rPr>
        <w:t xml:space="preserve">оп</w:t>
      </w:r>
      <w:r>
        <w:rPr>
          <w:sz w:val="27"/>
        </w:rPr>
        <w:t xml:space="preserve"> «Об утверждении </w:t>
      </w:r>
      <w:r>
        <w:rPr>
          <w:sz w:val="27"/>
        </w:rPr>
        <w:t xml:space="preserve">р</w:t>
      </w:r>
      <w:r>
        <w:rPr>
          <w:sz w:val="27"/>
        </w:rPr>
        <w:t xml:space="preserve">уководств</w:t>
      </w:r>
      <w:r>
        <w:rPr>
          <w:sz w:val="27"/>
        </w:rPr>
        <w:t xml:space="preserve">а</w:t>
      </w:r>
      <w:r>
        <w:rPr>
          <w:sz w:val="27"/>
        </w:rPr>
        <w:t xml:space="preserve"> по соблюдению обязательных требований </w:t>
      </w:r>
      <w:r>
        <w:rPr>
          <w:sz w:val="27"/>
        </w:rPr>
        <w:t xml:space="preserve">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 на территории Пензенской области</w:t>
      </w:r>
      <w:r>
        <w:rPr>
          <w:sz w:val="27"/>
        </w:rPr>
        <w:t xml:space="preserve">. 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</w:rPr>
        <w:t xml:space="preserve">На официа</w:t>
      </w:r>
      <w:r>
        <w:rPr>
          <w:sz w:val="27"/>
        </w:rPr>
        <w:t xml:space="preserve">льном сайте контрольного (надзорного) органа размещены положения нормативных правовых актов, содержащих обязательные требования, соблюдение которых оценивается при осуществлении регионального государственного контроля (надзора) за обеспечением сохранности </w:t>
      </w:r>
      <w:r>
        <w:rPr>
          <w:sz w:val="27"/>
        </w:rPr>
        <w:t xml:space="preserve">автомобильных дорог регионального и межмуниципального значения на территории Пензенской области.</w:t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/>
        <w:ind w:firstLine="709"/>
        <w:jc w:val="both"/>
        <w:rPr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sectPr>
      <w:footnotePr>
        <w:numRestart w:val="eachPage"/>
      </w:footnotePr>
      <w:endnotePr>
        <w:numFmt w:val="decimal"/>
      </w:endnotePr>
      <w:type w:val="nextPage"/>
      <w:pgSz w:w="11907" w:h="16840" w:orient="portrait"/>
      <w:pgMar w:top="1134" w:right="851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3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3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3"/>
  </w:num>
  <w:num w:numId="9">
    <w:abstractNumId w:val="14"/>
  </w:num>
  <w:num w:numId="10">
    <w:abstractNumId w:val="0"/>
  </w:num>
  <w:num w:numId="11">
    <w:abstractNumId w:val="16"/>
  </w:num>
  <w:num w:numId="12">
    <w:abstractNumId w:val="13"/>
  </w:num>
  <w:num w:numId="13">
    <w:abstractNumId w:val="5"/>
  </w:num>
  <w:num w:numId="14">
    <w:abstractNumId w:val="6"/>
  </w:num>
  <w:num w:numId="15">
    <w:abstractNumId w:val="15"/>
  </w:num>
  <w:num w:numId="16">
    <w:abstractNumId w:val="4"/>
  </w:num>
  <w:num w:numId="17">
    <w:abstractNumId w:val="10"/>
  </w:num>
  <w:num w:numId="18">
    <w:abstractNumId w:val="1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674">
    <w:name w:val="Heading 2 Char"/>
    <w:basedOn w:val="696"/>
    <w:link w:val="688"/>
    <w:uiPriority w:val="9"/>
    <w:rPr>
      <w:rFonts w:ascii="Arial" w:hAnsi="Arial" w:cs="Arial" w:eastAsia="Arial"/>
      <w:sz w:val="34"/>
    </w:rPr>
  </w:style>
  <w:style w:type="character" w:styleId="675">
    <w:name w:val="Heading 4 Char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676">
    <w:name w:val="Heading 5 Char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677">
    <w:name w:val="Heading 6 Char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678">
    <w:name w:val="Heading 7 Char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>
    <w:name w:val="Heading 8 Char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680">
    <w:name w:val="Heading 9 Char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character" w:styleId="681">
    <w:name w:val="Title Char"/>
    <w:basedOn w:val="696"/>
    <w:link w:val="709"/>
    <w:uiPriority w:val="10"/>
    <w:rPr>
      <w:sz w:val="48"/>
      <w:szCs w:val="48"/>
    </w:rPr>
  </w:style>
  <w:style w:type="character" w:styleId="682">
    <w:name w:val="Subtitle Char"/>
    <w:basedOn w:val="696"/>
    <w:link w:val="711"/>
    <w:uiPriority w:val="11"/>
    <w:rPr>
      <w:sz w:val="24"/>
      <w:szCs w:val="24"/>
    </w:rPr>
  </w:style>
  <w:style w:type="character" w:styleId="683">
    <w:name w:val="Quote Char"/>
    <w:link w:val="713"/>
    <w:uiPriority w:val="29"/>
    <w:rPr>
      <w:i/>
    </w:rPr>
  </w:style>
  <w:style w:type="character" w:styleId="684">
    <w:name w:val="Intense Quote Char"/>
    <w:link w:val="715"/>
    <w:uiPriority w:val="30"/>
    <w:rPr>
      <w:i/>
    </w:rPr>
  </w:style>
  <w:style w:type="character" w:styleId="685">
    <w:name w:val="Endnote Text Char"/>
    <w:link w:val="847"/>
    <w:uiPriority w:val="99"/>
    <w:rPr>
      <w:sz w:val="20"/>
    </w:rPr>
  </w:style>
  <w:style w:type="paragraph" w:styleId="686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687">
    <w:name w:val="Heading 1"/>
    <w:basedOn w:val="686"/>
    <w:next w:val="68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88">
    <w:name w:val="Heading 2"/>
    <w:basedOn w:val="686"/>
    <w:next w:val="686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89">
    <w:name w:val="Heading 3"/>
    <w:basedOn w:val="686"/>
    <w:next w:val="686"/>
    <w:link w:val="861"/>
    <w:unhideWhenUsed/>
    <w:qFormat/>
    <w:pPr>
      <w:jc w:val="center"/>
      <w:keepNext/>
      <w:outlineLvl w:val="2"/>
    </w:pPr>
    <w:rPr>
      <w:b/>
      <w:sz w:val="4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cs="Arial" w:eastAsia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cs="Arial" w:eastAsia="Arial"/>
      <w:sz w:val="34"/>
    </w:rPr>
  </w:style>
  <w:style w:type="character" w:styleId="701" w:customStyle="1">
    <w:name w:val="Heading 3 Char"/>
    <w:basedOn w:val="696"/>
    <w:uiPriority w:val="9"/>
    <w:rPr>
      <w:rFonts w:ascii="Arial" w:hAnsi="Arial" w:cs="Arial" w:eastAsia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cs="Arial" w:eastAsia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cs="Arial" w:eastAsia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cs="Arial" w:eastAsia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cs="Arial" w:eastAsia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cs="Arial" w:eastAsia="Arial"/>
      <w:i/>
      <w:iCs/>
      <w:sz w:val="21"/>
      <w:szCs w:val="21"/>
    </w:rPr>
  </w:style>
  <w:style w:type="paragraph" w:styleId="708">
    <w:name w:val="No Spacing"/>
    <w:uiPriority w:val="1"/>
    <w:qFormat/>
    <w:pPr>
      <w:spacing w:after="0" w:line="240" w:lineRule="auto"/>
    </w:pPr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paragraph" w:styleId="719">
    <w:name w:val="Caption"/>
    <w:basedOn w:val="686"/>
    <w:next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 w:customStyle="1">
    <w:name w:val="Caption Char"/>
    <w:uiPriority w:val="99"/>
  </w:style>
  <w:style w:type="table" w:styleId="721" w:customStyle="1">
    <w:name w:val="Table Grid Light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9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ffffff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ffffff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ffffff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ffffff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ffffff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fffff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6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27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28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29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0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1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2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</w:style>
  <w:style w:type="table" w:styleId="838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</w:style>
  <w:style w:type="table" w:styleId="839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uiPriority w:val="99"/>
    <w:rPr>
      <w:sz w:val="18"/>
    </w:rPr>
  </w:style>
  <w:style w:type="paragraph" w:styleId="847">
    <w:name w:val="endnote text"/>
    <w:basedOn w:val="686"/>
    <w:link w:val="848"/>
    <w:uiPriority w:val="99"/>
    <w:semiHidden/>
    <w:unhideWhenUsed/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96"/>
    <w:uiPriority w:val="99"/>
    <w:semiHidden/>
    <w:unhideWhenUsed/>
    <w:rPr>
      <w:vertAlign w:val="superscript"/>
    </w:rPr>
  </w:style>
  <w:style w:type="paragraph" w:styleId="850">
    <w:name w:val="toc 1"/>
    <w:basedOn w:val="686"/>
    <w:next w:val="686"/>
    <w:uiPriority w:val="39"/>
    <w:unhideWhenUsed/>
    <w:pPr>
      <w:spacing w:after="57"/>
    </w:pPr>
  </w:style>
  <w:style w:type="paragraph" w:styleId="851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2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3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4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5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6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7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58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86"/>
    <w:next w:val="686"/>
    <w:uiPriority w:val="99"/>
    <w:unhideWhenUsed/>
  </w:style>
  <w:style w:type="character" w:styleId="861" w:customStyle="1">
    <w:name w:val="Заголовок 3 Знак"/>
    <w:basedOn w:val="696"/>
    <w:link w:val="689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paragraph" w:styleId="862">
    <w:name w:val="List Paragraph"/>
    <w:basedOn w:val="686"/>
    <w:uiPriority w:val="34"/>
    <w:qFormat/>
    <w:pPr>
      <w:contextualSpacing/>
      <w:ind w:left="720"/>
    </w:pPr>
  </w:style>
  <w:style w:type="paragraph" w:styleId="863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864" w:customStyle="1">
    <w:name w:val="ConsPlusTitle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865">
    <w:name w:val="Balloon Text"/>
    <w:basedOn w:val="686"/>
    <w:link w:val="866"/>
    <w:uiPriority w:val="99"/>
    <w:semiHidden/>
    <w:unhideWhenUsed/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696"/>
    <w:link w:val="865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867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868" w:customStyle="1">
    <w:name w:val="ConsPlusTitlePage"/>
    <w:pPr>
      <w:spacing w:after="0" w:line="240" w:lineRule="auto"/>
      <w:widowControl w:val="off"/>
    </w:pPr>
    <w:rPr>
      <w:rFonts w:ascii="Tahoma" w:hAnsi="Tahoma" w:cs="Tahoma" w:eastAsia="Times New Roman"/>
      <w:sz w:val="20"/>
      <w:szCs w:val="20"/>
      <w:lang w:eastAsia="ru-RU"/>
    </w:rPr>
  </w:style>
  <w:style w:type="table" w:styleId="869" w:customStyle="1">
    <w:name w:val="Сетка таблицы1"/>
    <w:basedOn w:val="697"/>
    <w:next w:val="870"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Table Grid"/>
    <w:basedOn w:val="6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1">
    <w:name w:val="Header"/>
    <w:basedOn w:val="686"/>
    <w:link w:val="8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2" w:customStyle="1">
    <w:name w:val="Верхний колонтитул Знак"/>
    <w:basedOn w:val="696"/>
    <w:link w:val="871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3">
    <w:name w:val="Footer"/>
    <w:basedOn w:val="686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Нижний колонтитул Знак"/>
    <w:basedOn w:val="696"/>
    <w:link w:val="873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875">
    <w:name w:val="footnote text"/>
    <w:basedOn w:val="686"/>
    <w:link w:val="876"/>
    <w:uiPriority w:val="99"/>
    <w:semiHidden/>
    <w:unhideWhenUsed/>
  </w:style>
  <w:style w:type="character" w:styleId="876" w:customStyle="1">
    <w:name w:val="Текст сноски Знак"/>
    <w:basedOn w:val="696"/>
    <w:link w:val="875"/>
    <w:uiPriority w:val="99"/>
    <w:semiHidden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877">
    <w:name w:val="footnote reference"/>
    <w:semiHidden/>
    <w:unhideWhenUsed/>
    <w:rPr>
      <w:vertAlign w:val="superscript"/>
    </w:rPr>
  </w:style>
  <w:style w:type="character" w:styleId="878">
    <w:name w:val="Hyperlink"/>
    <w:basedOn w:val="696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Викторовна</dc:creator>
  <cp:keywords/>
  <dc:description/>
  <cp:revision>9</cp:revision>
  <dcterms:created xsi:type="dcterms:W3CDTF">2021-10-01T08:18:00Z</dcterms:created>
  <dcterms:modified xsi:type="dcterms:W3CDTF">2023-03-13T09:47:10Z</dcterms:modified>
</cp:coreProperties>
</file>