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32"/>
        <w:jc w:val="right"/>
        <w:spacing w:before="0" w:after="0" w:line="240" w:lineRule="auto"/>
        <w:shd w:val="clear" w:color="auto" w:fill="ffffff"/>
      </w:pPr>
      <w:r>
        <w:rPr>
          <w:rFonts w:ascii="TimesNewRoman" w:hAnsi="TimesNewRoman" w:cs="TimesNewRoman" w:eastAsia="TimesNewRoman"/>
          <w:color w:val="000000"/>
          <w:sz w:val="24"/>
        </w:rPr>
        <w:t xml:space="preserve">Приложение №3</w:t>
      </w:r>
      <w:r>
        <w:rPr>
          <w:sz w:val="24"/>
        </w:rPr>
      </w:r>
      <w:r/>
    </w:p>
    <w:p>
      <w:pPr>
        <w:pStyle w:val="632"/>
        <w:jc w:val="right"/>
        <w:spacing w:before="0" w:after="0" w:line="240" w:lineRule="auto"/>
        <w:shd w:val="clear" w:color="auto" w:fill="ffffff"/>
      </w:pPr>
      <w:r>
        <w:rPr>
          <w:rFonts w:ascii="TimesNewRoman" w:hAnsi="TimesNewRoman" w:cs="TimesNewRoman" w:eastAsia="TimesNewRoman"/>
          <w:color w:val="000000"/>
          <w:sz w:val="24"/>
        </w:rPr>
        <w:t xml:space="preserve">к приказу</w:t>
      </w:r>
      <w:r>
        <w:rPr>
          <w:sz w:val="24"/>
        </w:rPr>
      </w:r>
      <w:r/>
    </w:p>
    <w:p>
      <w:pPr>
        <w:pStyle w:val="632"/>
        <w:jc w:val="right"/>
        <w:spacing w:before="0" w:after="0" w:line="240" w:lineRule="auto"/>
        <w:shd w:val="clear" w:color="auto" w:fill="ffffff"/>
      </w:pPr>
      <w:r>
        <w:rPr>
          <w:rFonts w:ascii="TimesNewRoman" w:hAnsi="TimesNewRoman" w:cs="TimesNewRoman" w:eastAsia="TimesNewRoman"/>
          <w:color w:val="000000"/>
          <w:sz w:val="24"/>
        </w:rPr>
        <w:t xml:space="preserve">Министерства градостроительства</w:t>
      </w:r>
      <w:r>
        <w:rPr>
          <w:sz w:val="24"/>
        </w:rPr>
      </w:r>
      <w:r/>
    </w:p>
    <w:p>
      <w:pPr>
        <w:pStyle w:val="632"/>
        <w:jc w:val="right"/>
        <w:spacing w:before="0" w:after="0" w:line="240" w:lineRule="auto"/>
        <w:shd w:val="clear" w:color="auto" w:fill="ffffff"/>
      </w:pPr>
      <w:r>
        <w:rPr>
          <w:rFonts w:ascii="TimesNewRoman" w:hAnsi="TimesNewRoman" w:cs="TimesNewRoman" w:eastAsia="TimesNewRoman"/>
          <w:color w:val="000000"/>
          <w:sz w:val="24"/>
        </w:rPr>
        <w:t xml:space="preserve">и архитектуры</w:t>
      </w:r>
      <w:r>
        <w:rPr>
          <w:sz w:val="24"/>
        </w:rPr>
      </w:r>
      <w:r/>
    </w:p>
    <w:p>
      <w:pPr>
        <w:pStyle w:val="632"/>
        <w:jc w:val="right"/>
        <w:spacing w:before="0" w:after="0" w:line="240" w:lineRule="auto"/>
        <w:shd w:val="clear" w:color="auto" w:fill="ffffff"/>
      </w:pPr>
      <w:r>
        <w:rPr>
          <w:rFonts w:ascii="TimesNewRoman" w:hAnsi="TimesNewRoman" w:cs="TimesNewRoman" w:eastAsia="TimesNewRoman"/>
          <w:color w:val="000000"/>
          <w:sz w:val="24"/>
        </w:rPr>
        <w:t xml:space="preserve">Пензенской области</w:t>
      </w:r>
      <w:r>
        <w:rPr>
          <w:sz w:val="24"/>
        </w:rPr>
      </w:r>
      <w:r/>
    </w:p>
    <w:p>
      <w:pPr>
        <w:pStyle w:val="632"/>
        <w:ind w:left="0" w:firstLine="0"/>
        <w:jc w:val="center"/>
        <w:spacing w:before="0" w:after="0" w:line="240" w:lineRule="auto"/>
        <w:shd w:val="clear" w:color="auto" w:fill="ffffff"/>
        <w:rPr>
          <w:rFonts w:ascii="TimesNewRoman" w:hAnsi="TimesNewRoman" w:cs="TimesNewRoman" w:eastAsia="TimesNew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NewRoman" w:hAnsi="TimesNewRoman" w:cs="TimesNewRoman" w:eastAsia="TimesNewRoman"/>
          <w:color w:val="000000"/>
          <w:sz w:val="24"/>
        </w:rPr>
        <w:t xml:space="preserve">                                                                                                    от «16» </w:t>
      </w:r>
      <w:r>
        <w:rPr>
          <w:rFonts w:ascii="TimesNewRoman" w:hAnsi="TimesNewRoman" w:cs="TimesNewRoman" w:eastAsia="TimesNewRoman"/>
          <w:color w:val="000000"/>
          <w:sz w:val="24"/>
          <w:lang w:val="ru-RU"/>
        </w:rPr>
        <w:t xml:space="preserve">декабря</w:t>
      </w:r>
      <w:r>
        <w:rPr>
          <w:rFonts w:ascii="TimesNewRoman" w:hAnsi="TimesNewRoman" w:cs="TimesNewRoman" w:eastAsia="TimesNewRoman"/>
          <w:color w:val="000000"/>
          <w:sz w:val="24"/>
        </w:rPr>
        <w:t xml:space="preserve"> 202</w:t>
      </w:r>
      <w:r>
        <w:rPr>
          <w:rFonts w:ascii="TimesNewRoman" w:hAnsi="TimesNewRoman" w:cs="TimesNewRoman" w:eastAsia="TimesNewRoman"/>
          <w:color w:val="000000"/>
          <w:sz w:val="24"/>
          <w:lang w:val="ru-RU"/>
        </w:rPr>
        <w:t xml:space="preserve">2</w:t>
      </w:r>
      <w:r>
        <w:rPr>
          <w:rFonts w:ascii="TimesNewRoman" w:hAnsi="TimesNewRoman" w:cs="TimesNewRoman" w:eastAsia="TimesNewRoman"/>
          <w:color w:val="000000"/>
          <w:sz w:val="24"/>
        </w:rPr>
        <w:t xml:space="preserve"> №</w:t>
      </w:r>
      <w:r>
        <w:rPr>
          <w:rFonts w:ascii="TimesNewRoman" w:hAnsi="TimesNewRoman" w:cs="TimesNewRoman" w:eastAsia="TimesNewRoman"/>
          <w:color w:val="000000"/>
          <w:sz w:val="24"/>
          <w:lang w:val="ru-RU"/>
        </w:rPr>
        <w:t xml:space="preserve">324-1</w:t>
      </w:r>
      <w:r>
        <w:rPr>
          <w:rFonts w:ascii="TimesNewRoman" w:hAnsi="TimesNewRoman" w:cs="TimesNewRoman" w:eastAsia="TimesNewRoman"/>
          <w:color w:val="000000"/>
          <w:sz w:val="24"/>
        </w:rPr>
        <w:t xml:space="preserve">/оп</w:t>
      </w:r>
      <w:r>
        <w:rPr>
          <w:rFonts w:ascii="TimesNewRoman" w:hAnsi="TimesNewRoman" w:cs="TimesNewRoman" w:eastAsia="TimesNewRoman"/>
          <w:color w:val="000000"/>
          <w:sz w:val="24"/>
        </w:rPr>
      </w:r>
      <w:r/>
    </w:p>
    <w:p>
      <w:pPr>
        <w:jc w:val="right"/>
      </w:pPr>
      <w:r>
        <w:rPr>
          <w:b/>
          <w:color w:val="000000"/>
          <w:sz w:val="27"/>
        </w:rPr>
      </w:r>
      <w:r/>
    </w:p>
    <w:p>
      <w:pPr>
        <w:jc w:val="center"/>
        <w:rPr>
          <w:rFonts w:ascii="TimesNewRoman" w:hAnsi="TimesNewRoman" w:cs="TimesNewRoman" w:eastAsia="TimesNewRoman"/>
        </w:rPr>
      </w:pPr>
      <w:r>
        <w:rPr>
          <w:rFonts w:ascii="TimesNewRoman" w:hAnsi="TimesNewRoman" w:cs="TimesNewRoman" w:eastAsia="TimesNewRoman"/>
        </w:rPr>
      </w:r>
      <w:r/>
    </w:p>
    <w:p>
      <w:pPr>
        <w:jc w:val="center"/>
        <w:rPr>
          <w:rFonts w:ascii="TimesNewRoman" w:hAnsi="TimesNewRoman" w:cs="TimesNewRoman" w:eastAsia="TimesNewRoman"/>
        </w:rPr>
      </w:pPr>
      <w:r>
        <w:rPr>
          <w:rFonts w:ascii="TimesNewRoman" w:hAnsi="TimesNewRoman" w:cs="TimesNewRoman" w:eastAsia="TimesNewRoman"/>
        </w:rPr>
      </w:r>
      <w:r/>
    </w:p>
    <w:p>
      <w:pPr>
        <w:jc w:val="center"/>
      </w:pPr>
      <w:r>
        <w:rPr>
          <w:b/>
          <w:color w:val="000000"/>
          <w:sz w:val="27"/>
        </w:rPr>
        <w:t xml:space="preserve">ПРОГРАММА </w:t>
      </w:r>
      <w:r/>
    </w:p>
    <w:p>
      <w:pPr>
        <w:pStyle w:val="826"/>
        <w:jc w:val="center"/>
        <w:shd w:val="clear" w:color="auto" w:fill="auto"/>
        <w:rPr>
          <w:rFonts w:ascii="Times New Roman" w:hAnsi="Times New Roman" w:cs="Times New Roman" w:eastAsia="Times New Roman"/>
          <w:lang w:val="ru-RU"/>
        </w:rPr>
      </w:pPr>
      <w:r>
        <w:rPr>
          <w:rFonts w:ascii="Times New Roman" w:hAnsi="Times New Roman" w:cs="Times New Roman" w:eastAsia="Times New Roman"/>
          <w:sz w:val="27"/>
          <w:lang w:val="ru-RU"/>
        </w:rPr>
        <w:t xml:space="preserve">профилактики рисков причинения вреда (ущерба) охраняемым законом ценностям в рамках осуществления Министерством градостроительства и архитектуры Пензенской области регионального государственного контроля (надзора) на автомобильном транспорте, городском наз</w:t>
      </w:r>
      <w:r>
        <w:rPr>
          <w:rFonts w:ascii="Times New Roman" w:hAnsi="Times New Roman" w:cs="Times New Roman" w:eastAsia="Times New Roman"/>
          <w:sz w:val="27"/>
          <w:lang w:val="ru-RU"/>
        </w:rPr>
        <w:t xml:space="preserve">емном электрическом транспорте и в дорожном хозяйстве на территории Пензенской области </w:t>
      </w:r>
      <w:r>
        <w:rPr>
          <w:rFonts w:ascii="Times New Roman" w:hAnsi="Times New Roman" w:cs="Times New Roman" w:eastAsia="Times New Roman"/>
          <w:sz w:val="27"/>
          <w:lang w:val="ru-RU"/>
        </w:rPr>
        <w:t xml:space="preserve">на 2023 год</w:t>
      </w:r>
      <w:r/>
    </w:p>
    <w:p>
      <w:pPr>
        <w:pStyle w:val="826"/>
        <w:jc w:val="center"/>
        <w:shd w:val="clear" w:color="auto" w:fill="auto"/>
        <w:rPr>
          <w:rFonts w:ascii="Times New Roman" w:hAnsi="Times New Roman" w:cs="Times New Roman" w:eastAsia="Times New Roman"/>
          <w:lang w:val="ru-RU"/>
        </w:rPr>
      </w:pPr>
      <w:r>
        <w:rPr>
          <w:rFonts w:ascii="Times New Roman" w:hAnsi="Times New Roman" w:cs="Times New Roman" w:eastAsia="Times New Roman"/>
          <w:lang w:val="ru-RU"/>
        </w:rPr>
      </w:r>
      <w:r/>
    </w:p>
    <w:p>
      <w:pPr>
        <w:pStyle w:val="826"/>
        <w:jc w:val="center"/>
        <w:shd w:val="clear" w:color="auto" w:fill="auto"/>
        <w:rPr>
          <w:rFonts w:ascii="Times New Roman" w:hAnsi="Times New Roman" w:cs="Times New Roman" w:eastAsia="Times New Roman"/>
          <w:lang w:val="ru-RU"/>
        </w:rPr>
      </w:pPr>
      <w:r>
        <w:rPr>
          <w:rFonts w:ascii="Times New Roman" w:hAnsi="Times New Roman" w:cs="Times New Roman" w:eastAsia="Times New Roman"/>
          <w:lang w:val="ru-RU"/>
        </w:rPr>
      </w:r>
      <w:r/>
    </w:p>
    <w:p>
      <w:pPr>
        <w:pStyle w:val="825"/>
        <w:numPr>
          <w:ilvl w:val="0"/>
          <w:numId w:val="1"/>
        </w:numPr>
        <w:jc w:val="center"/>
      </w:pPr>
      <w:r>
        <w:rPr>
          <w:b/>
          <w:color w:val="000000"/>
          <w:sz w:val="27"/>
        </w:rPr>
        <w:t xml:space="preserve">Основания для разработки программы.</w:t>
      </w:r>
      <w:r/>
    </w:p>
    <w:p>
      <w:pPr>
        <w:contextualSpacing/>
        <w:jc w:val="center"/>
      </w:pPr>
      <w:r/>
      <w:r/>
    </w:p>
    <w:p>
      <w:pPr>
        <w:ind w:firstLine="567"/>
        <w:jc w:val="both"/>
      </w:pPr>
      <w:r>
        <w:rPr>
          <w:color w:val="000000"/>
          <w:sz w:val="27"/>
        </w:rPr>
        <w:t xml:space="preserve">Программа профилактики рисков причи</w:t>
      </w:r>
      <w:r>
        <w:rPr>
          <w:color w:val="000000"/>
          <w:sz w:val="27"/>
        </w:rPr>
        <w:t xml:space="preserve">нения вреда (ущерба) охраняемым законом ценностям в рамках осуществления Министерством градостроительства и архитектуры Пензенской области (далее - Министерство) регионального государственного контроля (надзора) на автомобильном транспорте, городском назем</w:t>
      </w:r>
      <w:r>
        <w:rPr>
          <w:color w:val="000000"/>
          <w:sz w:val="27"/>
        </w:rPr>
        <w:t xml:space="preserve">ном электрическом транспорте и в дорожном хозяйстве на территории Пензенской области </w:t>
      </w:r>
      <w:r>
        <w:rPr>
          <w:color w:val="000000"/>
          <w:sz w:val="27"/>
        </w:rPr>
        <w:t xml:space="preserve">на 2023 год (далее - Программа), разработана в соответствии:</w:t>
      </w:r>
      <w:r/>
    </w:p>
    <w:p>
      <w:pPr>
        <w:ind w:firstLine="567"/>
        <w:jc w:val="both"/>
      </w:pPr>
      <w:r>
        <w:rPr>
          <w:color w:val="000000"/>
          <w:sz w:val="27"/>
        </w:rPr>
        <w:t xml:space="preserve">- со ст. 44 Федерального за</w:t>
      </w:r>
      <w:r>
        <w:rPr>
          <w:color w:val="000000"/>
          <w:sz w:val="27"/>
        </w:rPr>
        <w:t xml:space="preserve">кона от 31.07.2020 № 248-ФЗ «О государственном контроле (надзоре) и муниципальном контроле в Российской Федерации» (далее – Закон № 248-ФЗ); </w:t>
      </w:r>
      <w:r/>
    </w:p>
    <w:p>
      <w:pPr>
        <w:ind w:firstLine="567"/>
        <w:jc w:val="both"/>
      </w:pPr>
      <w:r>
        <w:rPr>
          <w:color w:val="000000"/>
          <w:sz w:val="27"/>
        </w:rPr>
        <w:t xml:space="preserve">- с Постановлением Правительства Российской Федерации от 25.06.2021 № 990 «Об утверждении Правил разработки и утве</w:t>
      </w:r>
      <w:r>
        <w:rPr>
          <w:color w:val="000000"/>
          <w:sz w:val="27"/>
        </w:rPr>
        <w:t xml:space="preserve">рждения контрольными (надзорными) органами программы профилактики рисков причинения вреда (ущерба) охраняемым законом ценностям»;</w:t>
      </w:r>
      <w:r/>
    </w:p>
    <w:p>
      <w:pPr>
        <w:ind w:firstLine="567"/>
        <w:jc w:val="both"/>
        <w:rPr>
          <w:sz w:val="27"/>
        </w:rPr>
      </w:pPr>
      <w:r>
        <w:rPr>
          <w:color w:val="000000"/>
          <w:sz w:val="27"/>
        </w:rPr>
        <w:t xml:space="preserve">- </w:t>
      </w:r>
      <w:r>
        <w:rPr>
          <w:sz w:val="27"/>
        </w:rPr>
        <w:t xml:space="preserve">с </w:t>
      </w:r>
      <w:r>
        <w:rPr>
          <w:sz w:val="27"/>
        </w:rPr>
        <w:t xml:space="preserve">Постановлением Правительства Пензенской области от 23.12.2021 № 902-пП «Об утверждении Положения о региональном государств</w:t>
      </w:r>
      <w:r>
        <w:rPr>
          <w:sz w:val="27"/>
        </w:rPr>
        <w:t xml:space="preserve">енном контроле (надзоре) на автомобильном транспорте, городском наземном электрическом транспорте и в дорожном хозяйстве на территории Пензенской области»</w:t>
      </w:r>
      <w:r>
        <w:rPr>
          <w:sz w:val="27"/>
        </w:rPr>
        <w:t xml:space="preserve">.</w:t>
      </w:r>
      <w:r/>
    </w:p>
    <w:p>
      <w:pPr>
        <w:ind w:firstLine="567"/>
        <w:jc w:val="both"/>
        <w:rPr>
          <w:color w:val="000000"/>
          <w:sz w:val="27"/>
        </w:rPr>
      </w:pPr>
      <w:r>
        <w:rPr>
          <w:color w:val="000000"/>
          <w:sz w:val="27"/>
        </w:rPr>
      </w:r>
      <w:r/>
    </w:p>
    <w:p>
      <w:pPr>
        <w:ind w:firstLine="567"/>
        <w:jc w:val="center"/>
      </w:pPr>
      <w:r>
        <w:rPr>
          <w:b/>
          <w:color w:val="000000"/>
          <w:sz w:val="27"/>
        </w:rPr>
        <w:t xml:space="preserve">2. Анализ текущего состояния осуществления вида контроля, описание текущего развития профилактическ</w:t>
      </w:r>
      <w:r>
        <w:rPr>
          <w:b/>
          <w:color w:val="000000"/>
          <w:sz w:val="27"/>
        </w:rPr>
        <w:t xml:space="preserve">ой деятельности контрольного (надзорного) органа, характеристика проблем, на решение которых направлена программа профилактики.</w:t>
      </w:r>
      <w:r/>
    </w:p>
    <w:p>
      <w:pPr>
        <w:ind w:firstLine="567"/>
        <w:jc w:val="center"/>
      </w:pPr>
      <w:r/>
      <w:r/>
    </w:p>
    <w:p>
      <w:pPr>
        <w:ind w:firstLine="567"/>
        <w:jc w:val="both"/>
      </w:pPr>
      <w:r>
        <w:rPr>
          <w:color w:val="000000"/>
          <w:sz w:val="27"/>
        </w:rPr>
        <w:t xml:space="preserve">Министерство градостроительства и архитектуры Пензенской области (далее - Министерство) в сфере регионального государственного </w:t>
      </w:r>
      <w:r>
        <w:rPr>
          <w:color w:val="000000"/>
          <w:sz w:val="27"/>
        </w:rPr>
        <w:t xml:space="preserve">контроля (надзора) на автомобильном транспорте, городском наземном электрическом транспорте и в дорожном хозяйстве на территории Пензенской области </w:t>
      </w:r>
      <w:r>
        <w:rPr>
          <w:color w:val="000000"/>
          <w:sz w:val="27"/>
        </w:rPr>
        <w:t xml:space="preserve">(далее - региональный гос</w:t>
      </w:r>
      <w:r>
        <w:rPr>
          <w:color w:val="000000"/>
          <w:sz w:val="27"/>
        </w:rPr>
        <w:t xml:space="preserve">ударственный контроль (надзор).</w:t>
      </w:r>
      <w:r/>
    </w:p>
    <w:p>
      <w:pPr>
        <w:pStyle w:val="827"/>
        <w:ind w:firstLine="567"/>
        <w:jc w:val="both"/>
        <w:spacing w:line="276" w:lineRule="auto"/>
        <w:shd w:val="clear" w:color="auto" w:fill="auto"/>
        <w:tabs>
          <w:tab w:val="left" w:pos="993" w:leader="none"/>
        </w:tabs>
        <w:rPr>
          <w:rFonts w:ascii="Times New Roman" w:hAnsi="Times New Roman" w:cs="Times New Roman" w:eastAsia="Times New Roman"/>
          <w:lang w:val="ru-RU"/>
        </w:rPr>
      </w:pPr>
      <w:r>
        <w:rPr>
          <w:rFonts w:ascii="Times New Roman" w:hAnsi="Times New Roman" w:cs="Times New Roman" w:eastAsia="Times New Roman"/>
          <w:sz w:val="27"/>
          <w:lang w:val="ru-RU"/>
        </w:rPr>
        <w:t xml:space="preserve">Предметом регионального государственного контроля (надзора) является соблюдение требований в области автомобильных дорог и дорожной </w:t>
      </w:r>
      <w:r>
        <w:rPr>
          <w:rFonts w:ascii="Times New Roman" w:hAnsi="Times New Roman" w:cs="Times New Roman" w:eastAsia="Times New Roman"/>
          <w:sz w:val="27"/>
          <w:lang w:val="ru-RU"/>
        </w:rPr>
        <w:t xml:space="preserve">деятельности, установленных в отношении автомобильных дорог регионального и межмуниципальног</w:t>
      </w:r>
      <w:r>
        <w:rPr>
          <w:rFonts w:ascii="Times New Roman" w:hAnsi="Times New Roman" w:cs="Times New Roman" w:eastAsia="Times New Roman"/>
          <w:sz w:val="27"/>
          <w:lang w:val="ru-RU"/>
        </w:rPr>
        <w:t xml:space="preserve">о значения:</w:t>
      </w:r>
      <w:r/>
    </w:p>
    <w:p>
      <w:pPr>
        <w:pStyle w:val="827"/>
        <w:ind w:firstLine="567"/>
        <w:jc w:val="both"/>
        <w:shd w:val="clear" w:color="auto" w:fill="auto"/>
        <w:rPr>
          <w:rFonts w:ascii="Times New Roman" w:hAnsi="Times New Roman" w:cs="Times New Roman" w:eastAsia="Times New Roman"/>
          <w:lang w:val="ru-RU"/>
        </w:rPr>
      </w:pPr>
      <w:r>
        <w:rPr>
          <w:rFonts w:ascii="Times New Roman" w:hAnsi="Times New Roman" w:cs="Times New Roman" w:eastAsia="Times New Roman"/>
          <w:sz w:val="27"/>
          <w:lang w:val="ru-RU"/>
        </w:rPr>
        <w:t xml:space="preserve">а) к эксплуатации объектов дорожного сервиса, размещенных в полосах отвода и (или) придорожных полосах автомобильных дорог общего пользования;</w:t>
      </w:r>
      <w:r/>
    </w:p>
    <w:p>
      <w:pPr>
        <w:pStyle w:val="827"/>
        <w:ind w:firstLine="567"/>
        <w:jc w:val="both"/>
        <w:spacing w:line="276" w:lineRule="auto"/>
        <w:shd w:val="clear" w:color="auto" w:fill="auto"/>
        <w:tabs>
          <w:tab w:val="left" w:pos="993" w:leader="none"/>
        </w:tabs>
        <w:rPr>
          <w:rFonts w:ascii="Times New Roman" w:hAnsi="Times New Roman" w:cs="Times New Roman" w:eastAsia="Times New Roman"/>
          <w:lang w:val="ru-RU"/>
        </w:rPr>
      </w:pPr>
      <w:r>
        <w:rPr>
          <w:rFonts w:ascii="Times New Roman" w:hAnsi="Times New Roman" w:cs="Times New Roman" w:eastAsia="Times New Roman"/>
          <w:sz w:val="27"/>
          <w:lang w:val="ru-RU"/>
        </w:rPr>
        <w:t xml:space="preserve">б) к осуществлению работ по капитальному ремонту, ремонту и содержанию автомобильных дорог общего пользования и искусственных дорожных сооружений на них (включая требования к дорожно-строительным материалам и изделиям) в части обеспечения сохранности автом</w:t>
      </w:r>
      <w:r>
        <w:rPr>
          <w:rFonts w:ascii="Times New Roman" w:hAnsi="Times New Roman" w:cs="Times New Roman" w:eastAsia="Times New Roman"/>
          <w:sz w:val="27"/>
          <w:lang w:val="ru-RU"/>
        </w:rPr>
        <w:t xml:space="preserve">обильных дорог.</w:t>
      </w:r>
      <w:r/>
    </w:p>
    <w:p>
      <w:pPr>
        <w:pStyle w:val="828"/>
        <w:ind w:firstLine="567"/>
        <w:jc w:val="both"/>
        <w:shd w:val="clear" w:color="auto" w:fill="auto"/>
        <w:rPr>
          <w:rFonts w:ascii="Times New Roman" w:hAnsi="Times New Roman" w:cs="Times New Roman" w:eastAsia="Times New Roman"/>
          <w:sz w:val="27"/>
          <w:lang w:val="ru-RU"/>
        </w:rPr>
      </w:pPr>
      <w:r>
        <w:rPr>
          <w:rFonts w:ascii="Times New Roman" w:hAnsi="Times New Roman" w:cs="Times New Roman" w:eastAsia="Times New Roman"/>
          <w:sz w:val="27"/>
          <w:lang w:val="ru-RU"/>
        </w:rPr>
        <w:t xml:space="preserve">Предметом регионального государственного контроля (надзора) является также исполнение решений, при</w:t>
      </w:r>
      <w:r>
        <w:rPr>
          <w:rFonts w:ascii="Times New Roman" w:hAnsi="Times New Roman" w:cs="Times New Roman" w:eastAsia="Times New Roman"/>
          <w:sz w:val="27"/>
          <w:lang w:val="ru-RU"/>
        </w:rPr>
        <w:t xml:space="preserve">нимаемых по результатам контрольных мероприятий.</w:t>
      </w:r>
      <w:r/>
    </w:p>
    <w:p>
      <w:pPr>
        <w:ind w:firstLine="567"/>
        <w:jc w:val="both"/>
        <w:tabs>
          <w:tab w:val="left" w:pos="851" w:leader="none"/>
        </w:tabs>
        <w:rPr>
          <w:sz w:val="27"/>
          <w:szCs w:val="24"/>
        </w:rPr>
      </w:pPr>
      <w:r>
        <w:rPr>
          <w:color w:val="000000"/>
          <w:sz w:val="27"/>
        </w:rPr>
        <w:t xml:space="preserve">Министерство</w:t>
      </w:r>
      <w:r>
        <w:rPr>
          <w:sz w:val="27"/>
          <w:szCs w:val="24"/>
        </w:rPr>
        <w:t xml:space="preserve">м за 9 месяцев 2022 года проведено 0 проверок соблюдения действующего законодательства Российской Федерации в указанной сфере. Постановлением Правительства Российской Федерации от 10.03.2022 № 33</w:t>
      </w:r>
      <w:r>
        <w:rPr>
          <w:sz w:val="27"/>
          <w:szCs w:val="24"/>
        </w:rPr>
        <w:t xml:space="preserve">6 «Об особенностях организации и осуществления государственного контроля (надзора), муниципального контроля» (далее – Постановление № 336) предусмотрены ограничения на проведение плановых и внеплановых проверок (контрольных (надзорных) мероприятий).</w:t>
      </w:r>
      <w:r/>
    </w:p>
    <w:p>
      <w:pPr>
        <w:ind w:firstLine="720"/>
        <w:jc w:val="both"/>
        <w:rPr>
          <w:rFonts w:ascii="Times New Roman" w:hAnsi="Times New Roman" w:cs="Times New Roman" w:eastAsia="Times New Roman"/>
          <w:b w:val="0"/>
          <w:color w:val="000000"/>
          <w:sz w:val="26"/>
        </w:rPr>
      </w:pPr>
      <w:r>
        <w:rPr>
          <w:rFonts w:ascii="Times New Roman" w:hAnsi="Times New Roman" w:cs="Times New Roman" w:eastAsia="Times New Roman"/>
          <w:b w:val="0"/>
          <w:color w:val="000000" w:themeColor="text1"/>
          <w:sz w:val="26"/>
          <w:szCs w:val="24"/>
        </w:rPr>
        <w:t xml:space="preserve">В соответствии с изменениями, внесенными в Федеральный закон от 26.12.2008 № 294-ФЗ "О защите прав юридических лиц и индивидуальных предпринимателей при осуществлении государственного контроля (надзора) и муниципального контроля", </w:t>
      </w:r>
      <w:r>
        <w:rPr>
          <w:rFonts w:ascii="Times New Roman" w:hAnsi="Times New Roman" w:cs="Times New Roman" w:eastAsia="Times New Roman"/>
          <w:b w:val="0"/>
          <w:color w:val="000000" w:themeColor="text1"/>
          <w:sz w:val="26"/>
          <w:szCs w:val="24"/>
        </w:rPr>
        <w:t xml:space="preserve">Постановлением Правительства РФ от 08.09.2021 г. № 1520 «Об особенностях проведения в 2022 году плановых контрольных (надзорных) мероприятий, плановых проверок в отношении субъектов малого предпринимательства и о внесении изменений в некоторые акты Прав</w:t>
      </w:r>
      <w:r>
        <w:rPr>
          <w:rFonts w:ascii="Times New Roman" w:hAnsi="Times New Roman" w:cs="Times New Roman" w:eastAsia="Times New Roman"/>
          <w:b w:val="0"/>
          <w:color w:val="000000" w:themeColor="text1"/>
          <w:sz w:val="26"/>
          <w:szCs w:val="24"/>
        </w:rPr>
        <w:t xml:space="preserve">ительства Российской Федерации», </w:t>
      </w:r>
      <w:r>
        <w:rPr>
          <w:rFonts w:ascii="Times New Roman" w:hAnsi="Times New Roman" w:cs="Times New Roman" w:eastAsia="Times New Roman"/>
          <w:b w:val="0"/>
          <w:color w:val="000000" w:themeColor="text1"/>
          <w:sz w:val="26"/>
          <w:szCs w:val="24"/>
        </w:rPr>
        <w:t xml:space="preserve">в соответствии </w:t>
      </w:r>
      <w:r>
        <w:rPr>
          <w:rFonts w:ascii="Times New Roman" w:hAnsi="Times New Roman" w:cs="Times New Roman" w:eastAsia="Times New Roman"/>
          <w:b w:val="0"/>
          <w:color w:val="000000" w:themeColor="text1"/>
          <w:sz w:val="26"/>
          <w:szCs w:val="24"/>
        </w:rPr>
        <w:t xml:space="preserve">со статьей 4 Федерального закона от 24 июля 2007 года № 209-ФЗ</w:t>
      </w:r>
      <w:r>
        <w:rPr>
          <w:rFonts w:ascii="Times New Roman" w:hAnsi="Times New Roman" w:cs="Times New Roman" w:eastAsia="Times New Roman"/>
          <w:b w:val="0"/>
          <w:color w:val="000000" w:themeColor="text1"/>
          <w:sz w:val="26"/>
          <w:szCs w:val="24"/>
        </w:rPr>
        <w:t xml:space="preserve"> «О развитии малого и среднего предпринимательства в Российской Федерации» </w:t>
      </w:r>
      <w:r>
        <w:rPr>
          <w:rFonts w:ascii="Times New Roman" w:hAnsi="Times New Roman" w:cs="Times New Roman" w:eastAsia="Times New Roman"/>
          <w:b w:val="0"/>
          <w:color w:val="000000" w:themeColor="text1"/>
          <w:sz w:val="26"/>
          <w:szCs w:val="24"/>
        </w:rPr>
        <w:t xml:space="preserve">плановые проверки в отношении юридических лиц, индивидуальных предпринимателей, отнесенных  к субъектам ма</w:t>
      </w:r>
      <w:r>
        <w:rPr>
          <w:rFonts w:ascii="Times New Roman" w:hAnsi="Times New Roman" w:cs="Times New Roman" w:eastAsia="Times New Roman"/>
          <w:b w:val="0"/>
          <w:color w:val="000000" w:themeColor="text1"/>
          <w:sz w:val="26"/>
          <w:szCs w:val="24"/>
        </w:rPr>
        <w:t xml:space="preserve">лого предпринимательства, сведения о которых включены в единый реестр субъектов малого и среднего предпринимательства, не проводятся в период по 31 декабря 2022 года</w:t>
      </w:r>
      <w:r>
        <w:t xml:space="preserve">.</w:t>
      </w:r>
      <w:r>
        <w:rPr>
          <w:rFonts w:ascii="Times New Roman" w:hAnsi="Times New Roman" w:cs="Times New Roman" w:eastAsia="Times New Roman"/>
          <w:b w:val="0"/>
          <w:color w:val="000000" w:themeColor="text1"/>
          <w:sz w:val="26"/>
          <w:szCs w:val="24"/>
          <w:highlight w:val="white"/>
        </w:rPr>
      </w:r>
      <w:r/>
    </w:p>
    <w:p>
      <w:pPr>
        <w:ind w:firstLine="720"/>
        <w:jc w:val="both"/>
        <w:rPr>
          <w:rFonts w:ascii="Times New Roman" w:hAnsi="Times New Roman" w:cs="Times New Roman" w:eastAsia="Times New Roman"/>
          <w:color w:val="000000"/>
        </w:rPr>
      </w:pPr>
      <w:r>
        <w:rPr>
          <w:rFonts w:ascii="Times New Roman" w:hAnsi="Times New Roman" w:cs="Times New Roman" w:eastAsia="Times New Roman"/>
          <w:b w:val="0"/>
          <w:color w:val="000000" w:themeColor="text1"/>
          <w:sz w:val="26"/>
          <w:szCs w:val="24"/>
        </w:rPr>
        <w:t xml:space="preserve">Организации, осуществляющие деятельность в отношении автомобильных дорог на территории Пензенской области, относятся к субъектам малого предпринимательства.</w:t>
      </w:r>
      <w:r>
        <w:rPr>
          <w:rFonts w:ascii="Times New Roman" w:hAnsi="Times New Roman" w:cs="Times New Roman" w:eastAsia="Times New Roman"/>
          <w:b w:val="0"/>
          <w:color w:val="000000"/>
          <w:sz w:val="26"/>
          <w:szCs w:val="24"/>
        </w:rPr>
      </w:r>
      <w:r/>
    </w:p>
    <w:p>
      <w:pPr>
        <w:ind w:firstLine="567"/>
        <w:jc w:val="both"/>
        <w:tabs>
          <w:tab w:val="left" w:pos="851" w:leader="none"/>
        </w:tabs>
        <w:rPr>
          <w:sz w:val="27"/>
        </w:rPr>
      </w:pPr>
      <w:r>
        <w:rPr>
          <w:sz w:val="27"/>
          <w:szCs w:val="24"/>
        </w:rPr>
        <w:t xml:space="preserve">В рамк</w:t>
      </w:r>
      <w:r>
        <w:rPr>
          <w:sz w:val="27"/>
          <w:szCs w:val="24"/>
        </w:rPr>
        <w:t xml:space="preserve">ах профилактики</w:t>
      </w:r>
      <w:r>
        <w:rPr>
          <w:sz w:val="27"/>
          <w:szCs w:val="24"/>
          <w:lang w:eastAsia="en-US"/>
        </w:rPr>
        <w:t xml:space="preserve"> рисков причинения вреда (ущерба) охраняемым законом ценностям</w:t>
      </w:r>
      <w:r>
        <w:rPr>
          <w:sz w:val="27"/>
          <w:szCs w:val="24"/>
        </w:rPr>
        <w:t xml:space="preserve"> </w:t>
      </w:r>
      <w:r>
        <w:rPr>
          <w:color w:val="000000"/>
          <w:sz w:val="27"/>
        </w:rPr>
        <w:t xml:space="preserve">Министерство</w:t>
      </w:r>
      <w:r>
        <w:rPr>
          <w:sz w:val="27"/>
          <w:szCs w:val="24"/>
        </w:rPr>
        <w:t xml:space="preserve">м в 2022 году осуществляются следующие мероприятия:</w:t>
      </w:r>
      <w:r/>
    </w:p>
    <w:p>
      <w:pPr>
        <w:numPr>
          <w:ilvl w:val="0"/>
          <w:numId w:val="6"/>
        </w:numPr>
        <w:ind w:left="283" w:hanging="283"/>
        <w:jc w:val="both"/>
        <w:tabs>
          <w:tab w:val="left" w:pos="851" w:leader="none"/>
        </w:tabs>
        <w:rPr>
          <w:sz w:val="27"/>
        </w:rPr>
      </w:pPr>
      <w:r>
        <w:rPr>
          <w:sz w:val="27"/>
          <w:szCs w:val="24"/>
        </w:rPr>
        <w:t xml:space="preserve">размещение на официальном сайте </w:t>
      </w:r>
      <w:r>
        <w:rPr>
          <w:color w:val="000000"/>
          <w:sz w:val="27"/>
        </w:rPr>
        <w:t xml:space="preserve">Министерства</w:t>
      </w:r>
      <w:r>
        <w:rPr>
          <w:sz w:val="27"/>
          <w:szCs w:val="24"/>
        </w:rPr>
        <w:t xml:space="preserve"> в сети «Интернет»  перечней нормативных правовых актов или их отдельн</w:t>
      </w:r>
      <w:r>
        <w:rPr>
          <w:sz w:val="27"/>
          <w:szCs w:val="24"/>
        </w:rPr>
        <w:t xml:space="preserve">ых частей, содержащих обязательные требования, оценка соблюдения которых является предметом </w:t>
      </w:r>
      <w:r>
        <w:rPr>
          <w:sz w:val="27"/>
        </w:rPr>
        <w:t xml:space="preserve">государственного контроля (надзора)</w:t>
      </w:r>
      <w:r>
        <w:rPr>
          <w:sz w:val="27"/>
          <w:szCs w:val="24"/>
        </w:rPr>
        <w:t xml:space="preserve">, а также текстов соответствующих нормативных правовых актов;</w:t>
      </w:r>
      <w:r/>
    </w:p>
    <w:p>
      <w:pPr>
        <w:numPr>
          <w:ilvl w:val="0"/>
          <w:numId w:val="6"/>
        </w:numPr>
        <w:ind w:left="283" w:hanging="283"/>
        <w:jc w:val="both"/>
        <w:tabs>
          <w:tab w:val="left" w:pos="851" w:leader="none"/>
        </w:tabs>
        <w:rPr>
          <w:sz w:val="27"/>
        </w:rPr>
      </w:pPr>
      <w:r>
        <w:rPr>
          <w:sz w:val="27"/>
          <w:szCs w:val="24"/>
        </w:rPr>
        <w:t xml:space="preserve">осуществление информирова</w:t>
      </w:r>
      <w:r>
        <w:rPr>
          <w:sz w:val="27"/>
          <w:szCs w:val="24"/>
        </w:rPr>
        <w:t xml:space="preserve">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разъяснительной работы в средствах массовой информации</w:t>
      </w:r>
      <w:r>
        <w:rPr>
          <w:sz w:val="27"/>
          <w:szCs w:val="24"/>
        </w:rPr>
        <w:t xml:space="preserve">; </w:t>
      </w:r>
      <w:r/>
    </w:p>
    <w:p>
      <w:pPr>
        <w:numPr>
          <w:ilvl w:val="0"/>
          <w:numId w:val="6"/>
        </w:numPr>
        <w:ind w:left="283" w:hanging="283"/>
        <w:jc w:val="both"/>
        <w:tabs>
          <w:tab w:val="left" w:pos="851" w:leader="none"/>
        </w:tabs>
        <w:rPr>
          <w:sz w:val="27"/>
        </w:rPr>
      </w:pPr>
      <w:r>
        <w:rPr>
          <w:sz w:val="27"/>
          <w:szCs w:val="24"/>
        </w:rPr>
        <w:t xml:space="preserve">обеспечение регулярного обобщения практики осуществления </w:t>
      </w:r>
      <w:r>
        <w:rPr>
          <w:sz w:val="27"/>
        </w:rPr>
        <w:t xml:space="preserve">государственного контроля (надзора)</w:t>
      </w:r>
      <w:r>
        <w:rPr>
          <w:sz w:val="27"/>
          <w:szCs w:val="24"/>
        </w:rPr>
        <w:t xml:space="preserve"> и размещение на официальном интернет-сайте</w:t>
      </w:r>
      <w:r>
        <w:rPr>
          <w:color w:val="000000"/>
          <w:sz w:val="27"/>
        </w:rPr>
        <w:t xml:space="preserve"> Министерства</w:t>
      </w:r>
      <w:r>
        <w:rPr>
          <w:sz w:val="27"/>
          <w:szCs w:val="24"/>
        </w:rPr>
        <w:t xml:space="preserve"> соответствующих обобщений, в том числе с указанием наиболее часто встречающихся случаев нарушений обязат</w:t>
      </w:r>
      <w:r>
        <w:rPr>
          <w:sz w:val="27"/>
          <w:szCs w:val="24"/>
        </w:rPr>
        <w:t xml:space="preserve">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нарушений;</w:t>
      </w:r>
      <w:r/>
    </w:p>
    <w:p>
      <w:pPr>
        <w:numPr>
          <w:ilvl w:val="0"/>
          <w:numId w:val="6"/>
        </w:numPr>
        <w:ind w:left="283" w:hanging="283"/>
        <w:jc w:val="both"/>
        <w:tabs>
          <w:tab w:val="left" w:pos="851" w:leader="none"/>
        </w:tabs>
        <w:rPr>
          <w:sz w:val="27"/>
        </w:rPr>
      </w:pPr>
      <w:r>
        <w:rPr>
          <w:sz w:val="27"/>
          <w:szCs w:val="24"/>
        </w:rPr>
        <w:t xml:space="preserve">объявление </w:t>
      </w:r>
      <w:r>
        <w:rPr>
          <w:sz w:val="27"/>
        </w:rPr>
        <w:t xml:space="preserve">предостережения о недопустимости нарушения обязательных требований</w:t>
      </w:r>
      <w:r>
        <w:rPr>
          <w:sz w:val="27"/>
          <w:szCs w:val="24"/>
        </w:rPr>
        <w:t xml:space="preserve"> в соотв</w:t>
      </w:r>
      <w:r>
        <w:rPr>
          <w:sz w:val="27"/>
          <w:szCs w:val="24"/>
        </w:rPr>
        <w:t xml:space="preserve">етствии</w:t>
      </w:r>
      <w:r>
        <w:rPr>
          <w:sz w:val="27"/>
        </w:rPr>
        <w:t xml:space="preserve"> со с. 49 Федерального закона от 31.07.2020 № 248-</w:t>
      </w:r>
      <w:r>
        <w:rPr>
          <w:sz w:val="27"/>
        </w:rPr>
        <w:t xml:space="preserve">ФЗ  "О государственном контроле (надзоре) и муниципальном контроле в Российской Федерации"</w:t>
      </w:r>
      <w:r/>
    </w:p>
    <w:p>
      <w:pPr>
        <w:ind w:firstLine="851"/>
        <w:jc w:val="both"/>
        <w:shd w:val="clear" w:color="auto" w:fill="ffffff"/>
      </w:pPr>
      <w:r>
        <w:rPr>
          <w:color w:val="000000"/>
          <w:sz w:val="27"/>
        </w:rPr>
      </w:r>
      <w:r>
        <w:rPr>
          <w:color w:val="000000"/>
          <w:sz w:val="27"/>
        </w:rPr>
      </w:r>
      <w:r/>
    </w:p>
    <w:p>
      <w:pPr>
        <w:ind w:firstLine="851"/>
        <w:jc w:val="center"/>
        <w:spacing w:after="0" w:line="240" w:lineRule="auto"/>
        <w:tabs>
          <w:tab w:val="left" w:pos="0" w:leader="none"/>
          <w:tab w:val="left" w:pos="284" w:leader="none"/>
        </w:tabs>
      </w:pPr>
      <w:r>
        <w:rPr>
          <w:b/>
          <w:sz w:val="27"/>
        </w:rPr>
        <w:t xml:space="preserve">3. Текущее развитие профилактической деятельности </w:t>
      </w:r>
      <w:r>
        <w:rPr>
          <w:b/>
          <w:sz w:val="27"/>
          <w:szCs w:val="28"/>
        </w:rPr>
      </w:r>
      <w:r/>
    </w:p>
    <w:p>
      <w:pPr>
        <w:ind w:firstLine="851"/>
        <w:jc w:val="both"/>
        <w:spacing w:after="0" w:line="240" w:lineRule="auto"/>
        <w:tabs>
          <w:tab w:val="left" w:pos="0" w:leader="none"/>
          <w:tab w:val="left" w:pos="284" w:leader="none"/>
        </w:tabs>
      </w:pPr>
      <w:r>
        <w:rPr>
          <w:sz w:val="27"/>
        </w:rPr>
      </w:r>
      <w:r>
        <w:rPr>
          <w:sz w:val="27"/>
          <w:szCs w:val="28"/>
        </w:rPr>
      </w:r>
      <w:r/>
    </w:p>
    <w:p>
      <w:pPr>
        <w:ind w:firstLine="851"/>
        <w:jc w:val="both"/>
        <w:spacing w:after="0" w:line="240" w:lineRule="auto"/>
        <w:tabs>
          <w:tab w:val="left" w:pos="0" w:leader="none"/>
          <w:tab w:val="left" w:pos="284" w:leader="none"/>
        </w:tabs>
      </w:pPr>
      <w:r>
        <w:rPr>
          <w:sz w:val="27"/>
        </w:rPr>
        <w:t xml:space="preserve">В рамках профилактики правонарушений, установленных федеральными </w:t>
      </w:r>
      <w:r>
        <w:rPr>
          <w:sz w:val="27"/>
        </w:rPr>
        <w:t xml:space="preserve">законами и иными нормативными правовыми актами Российской Федерации, Министерством осуществлялись профилактические мероприятия: </w:t>
      </w:r>
      <w:r>
        <w:rPr>
          <w:sz w:val="27"/>
          <w:szCs w:val="28"/>
        </w:rPr>
      </w:r>
      <w:r/>
    </w:p>
    <w:p>
      <w:pPr>
        <w:ind w:firstLine="851"/>
        <w:jc w:val="both"/>
        <w:spacing w:after="0" w:line="240" w:lineRule="auto"/>
        <w:tabs>
          <w:tab w:val="left" w:pos="0" w:leader="none"/>
          <w:tab w:val="left" w:pos="284" w:leader="none"/>
        </w:tabs>
        <w:rPr>
          <w:lang w:val="ru-RU"/>
        </w:rPr>
      </w:pPr>
      <w:r>
        <w:rPr>
          <w:sz w:val="27"/>
          <w:lang w:val="ru-RU"/>
        </w:rPr>
      </w:r>
      <w:r>
        <w:rPr>
          <w:sz w:val="27"/>
          <w:lang w:val="ru-RU"/>
        </w:rPr>
        <w:t xml:space="preserve">1</w:t>
      </w:r>
      <w:r>
        <w:rPr>
          <w:sz w:val="27"/>
          <w:highlight w:val="white"/>
        </w:rPr>
        <w:t xml:space="preserve">)</w:t>
      </w:r>
      <w:r>
        <w:rPr>
          <w:sz w:val="27"/>
          <w:highlight w:val="white"/>
          <w:lang w:val="ru-RU"/>
        </w:rPr>
        <w:t xml:space="preserve"> </w:t>
      </w:r>
      <w:r>
        <w:rPr>
          <w:sz w:val="27"/>
        </w:rPr>
        <w:t xml:space="preserve">выявлени</w:t>
      </w:r>
      <w:r>
        <w:rPr>
          <w:sz w:val="27"/>
          <w:lang w:val="ru-RU"/>
        </w:rPr>
        <w:t xml:space="preserve">ю</w:t>
      </w:r>
      <w:r>
        <w:rPr>
          <w:sz w:val="27"/>
        </w:rPr>
        <w:t xml:space="preserve"> причин, факторов и условий, способствующих нарушению обязательных требований, определение способов устранения или снижения рисков их возникновения</w:t>
      </w:r>
      <w:r>
        <w:rPr>
          <w:sz w:val="27"/>
          <w:lang w:val="ru-RU"/>
        </w:rPr>
        <w:t xml:space="preserve">;</w:t>
      </w:r>
      <w:r>
        <w:rPr>
          <w:sz w:val="27"/>
          <w:szCs w:val="28"/>
          <w:lang w:val="ru-RU"/>
        </w:rPr>
      </w:r>
      <w:r/>
    </w:p>
    <w:p>
      <w:pPr>
        <w:ind w:firstLine="851"/>
        <w:jc w:val="both"/>
        <w:spacing w:after="0" w:line="240" w:lineRule="auto"/>
        <w:tabs>
          <w:tab w:val="left" w:pos="0" w:leader="none"/>
          <w:tab w:val="left" w:pos="284" w:leader="none"/>
        </w:tabs>
        <w:rPr>
          <w:color w:val="000000"/>
          <w:highlight w:val="white"/>
        </w:rPr>
      </w:pPr>
      <w:r>
        <w:rPr>
          <w:sz w:val="27"/>
          <w:lang w:val="ru-RU"/>
        </w:rPr>
        <w:t xml:space="preserve">2) </w:t>
      </w:r>
      <w:r>
        <w:rPr>
          <w:sz w:val="27"/>
          <w:lang w:val="ru-RU"/>
        </w:rPr>
        <w:t xml:space="preserve">установлению зависимости видов, форм и интенсивности </w:t>
      </w:r>
      <w:r>
        <w:rPr>
          <w:color w:val="000000" w:themeColor="text1"/>
          <w:sz w:val="27"/>
          <w:highlight w:val="white"/>
          <w:lang w:val="ru-RU"/>
        </w:rPr>
        <w:t xml:space="preserve">профилактических мероприятий от особенностей конкретных подконтрольных субъектов (объектов);</w:t>
      </w:r>
      <w:r>
        <w:rPr>
          <w:color w:val="000000" w:themeColor="text1"/>
          <w:sz w:val="27"/>
          <w:szCs w:val="28"/>
          <w:highlight w:val="white"/>
        </w:rPr>
      </w:r>
      <w:r/>
    </w:p>
    <w:p>
      <w:pPr>
        <w:ind w:firstLine="851"/>
        <w:jc w:val="both"/>
        <w:spacing w:after="0" w:line="240" w:lineRule="auto"/>
        <w:tabs>
          <w:tab w:val="left" w:pos="0" w:leader="none"/>
          <w:tab w:val="left" w:pos="284" w:leader="none"/>
        </w:tabs>
        <w:rPr>
          <w:color w:val="000000"/>
          <w:highlight w:val="white"/>
        </w:rPr>
      </w:pPr>
      <w:r>
        <w:rPr>
          <w:color w:val="000000" w:themeColor="text1"/>
          <w:sz w:val="27"/>
          <w:lang w:val="ru-RU"/>
        </w:rPr>
        <w:t xml:space="preserve">3</w:t>
      </w:r>
      <w:r>
        <w:rPr>
          <w:color w:val="000000" w:themeColor="text1"/>
          <w:sz w:val="27"/>
          <w:highlight w:val="white"/>
        </w:rPr>
        <w:t xml:space="preserve">) размещение на оф</w:t>
      </w:r>
      <w:r>
        <w:rPr>
          <w:color w:val="000000" w:themeColor="text1"/>
          <w:sz w:val="27"/>
          <w:highlight w:val="white"/>
        </w:rPr>
        <w:t xml:space="preserve">ициальном сайте Министерства в информационно-телекоммуникационной сети «Интернет» </w:t>
      </w:r>
      <w:r>
        <w:rPr>
          <w:color w:val="000000" w:themeColor="text1"/>
          <w:sz w:val="27"/>
          <w:highlight w:val="white"/>
        </w:rPr>
        <w:t xml:space="preserve">https://mingrad.pnzreg.ru/</w:t>
      </w:r>
      <w:r>
        <w:rPr>
          <w:color w:val="000000" w:themeColor="text1"/>
          <w:sz w:val="27"/>
          <w:highlight w:val="white"/>
        </w:rPr>
        <w:t xml:space="preserve">:</w:t>
      </w:r>
      <w:r>
        <w:rPr>
          <w:color w:val="000000" w:themeColor="text1"/>
          <w:sz w:val="27"/>
          <w:szCs w:val="28"/>
          <w:highlight w:val="white"/>
        </w:rPr>
      </w:r>
      <w:r/>
    </w:p>
    <w:p>
      <w:pPr>
        <w:ind w:firstLine="851"/>
        <w:jc w:val="both"/>
        <w:spacing w:after="0" w:line="240" w:lineRule="auto"/>
        <w:tabs>
          <w:tab w:val="left" w:pos="0" w:leader="none"/>
          <w:tab w:val="left" w:pos="284" w:leader="none"/>
        </w:tabs>
        <w:rPr>
          <w:color w:val="000000"/>
          <w:highlight w:val="white"/>
        </w:rPr>
      </w:pPr>
      <w:r>
        <w:rPr>
          <w:color w:val="000000" w:themeColor="text1"/>
          <w:sz w:val="27"/>
          <w:highlight w:val="white"/>
        </w:rPr>
        <w:t xml:space="preserve">– перечней нормативных правовых актов или их отдельных частей, содержащих обязательные требования, оценка соблюдения которых является предметом ре</w:t>
      </w:r>
      <w:r>
        <w:rPr>
          <w:color w:val="000000" w:themeColor="text1"/>
          <w:sz w:val="27"/>
          <w:highlight w:val="white"/>
        </w:rPr>
        <w:t xml:space="preserve">гионального государственного</w:t>
      </w:r>
      <w:r>
        <w:rPr>
          <w:color w:val="000000" w:themeColor="text1"/>
          <w:sz w:val="27"/>
          <w:highlight w:val="white"/>
          <w:lang w:val="ru-RU"/>
        </w:rPr>
        <w:t xml:space="preserve">строительного надзора</w:t>
      </w:r>
      <w:r>
        <w:rPr>
          <w:color w:val="000000" w:themeColor="text1"/>
          <w:sz w:val="27"/>
          <w:highlight w:val="white"/>
        </w:rPr>
        <w:t xml:space="preserve">; </w:t>
      </w:r>
      <w:r>
        <w:rPr>
          <w:color w:val="000000" w:themeColor="text1"/>
          <w:sz w:val="27"/>
          <w:szCs w:val="28"/>
          <w:highlight w:val="white"/>
        </w:rPr>
      </w:r>
      <w:r/>
    </w:p>
    <w:p>
      <w:pPr>
        <w:ind w:firstLine="851"/>
        <w:jc w:val="both"/>
        <w:spacing w:after="0" w:line="240" w:lineRule="auto"/>
        <w:tabs>
          <w:tab w:val="left" w:pos="0" w:leader="none"/>
          <w:tab w:val="left" w:pos="284" w:leader="none"/>
        </w:tabs>
        <w:rPr>
          <w:color w:val="000000"/>
          <w:highlight w:val="white"/>
        </w:rPr>
      </w:pPr>
      <w:r>
        <w:rPr>
          <w:color w:val="000000" w:themeColor="text1"/>
          <w:sz w:val="27"/>
          <w:lang w:val="ru-RU"/>
        </w:rPr>
        <w:t xml:space="preserve">4</w:t>
      </w:r>
      <w:r>
        <w:rPr>
          <w:color w:val="000000" w:themeColor="text1"/>
          <w:sz w:val="27"/>
          <w:highlight w:val="white"/>
        </w:rPr>
        <w:t xml:space="preserve">) подготовка и распространение комментариев о</w:t>
      </w:r>
      <w:r>
        <w:rPr>
          <w:color w:val="000000" w:themeColor="text1"/>
          <w:sz w:val="27"/>
          <w:highlight w:val="white"/>
        </w:rPr>
        <w:t xml:space="preserve"> содержании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действие, а также рекомендаций о проведении необходимых организационных, технических мероприяти</w:t>
      </w:r>
      <w:r>
        <w:rPr>
          <w:color w:val="000000" w:themeColor="text1"/>
          <w:sz w:val="27"/>
          <w:highlight w:val="white"/>
        </w:rPr>
        <w:t xml:space="preserve">й, направленных на внедрение и обеспечение соблюдения обязательных требований; </w:t>
      </w:r>
      <w:r>
        <w:rPr>
          <w:color w:val="000000" w:themeColor="text1"/>
          <w:sz w:val="27"/>
          <w:szCs w:val="28"/>
          <w:highlight w:val="white"/>
        </w:rPr>
      </w:r>
      <w:r/>
    </w:p>
    <w:p>
      <w:pPr>
        <w:ind w:firstLine="851"/>
        <w:jc w:val="both"/>
        <w:spacing w:after="0" w:line="240" w:lineRule="auto"/>
        <w:tabs>
          <w:tab w:val="left" w:pos="0" w:leader="none"/>
          <w:tab w:val="left" w:pos="284" w:leader="none"/>
        </w:tabs>
        <w:rPr>
          <w:color w:val="000000"/>
          <w:highlight w:val="white"/>
        </w:rPr>
      </w:pPr>
      <w:r>
        <w:rPr>
          <w:color w:val="000000" w:themeColor="text1"/>
          <w:sz w:val="27"/>
          <w:lang w:val="ru-RU"/>
        </w:rPr>
        <w:t xml:space="preserve">5</w:t>
      </w:r>
      <w:r>
        <w:rPr>
          <w:color w:val="000000" w:themeColor="text1"/>
          <w:sz w:val="27"/>
          <w:highlight w:val="white"/>
        </w:rPr>
        <w:t xml:space="preserve">) обобщение правоприменительной практики и размещение обобщений на официальном сайте Министерства в информационно-телекоммуникационной сети «Интернет» </w:t>
      </w:r>
      <w:r>
        <w:rPr>
          <w:color w:val="000000" w:themeColor="text1"/>
          <w:sz w:val="27"/>
          <w:highlight w:val="white"/>
        </w:rPr>
        <w:t xml:space="preserve">https://mingrad.pnzreg.ru/</w:t>
      </w:r>
      <w:r>
        <w:rPr>
          <w:color w:val="000000" w:themeColor="text1"/>
          <w:sz w:val="27"/>
          <w:highlight w:val="white"/>
        </w:rPr>
        <w:t xml:space="preserve">; </w:t>
      </w:r>
      <w:r>
        <w:rPr>
          <w:color w:val="000000" w:themeColor="text1"/>
          <w:sz w:val="27"/>
          <w:szCs w:val="28"/>
          <w:highlight w:val="white"/>
        </w:rPr>
      </w:r>
      <w:r/>
    </w:p>
    <w:p>
      <w:pPr>
        <w:ind w:firstLine="851"/>
        <w:jc w:val="both"/>
        <w:spacing w:after="0" w:line="240" w:lineRule="auto"/>
        <w:tabs>
          <w:tab w:val="left" w:pos="0" w:leader="none"/>
          <w:tab w:val="left" w:pos="284" w:leader="none"/>
        </w:tabs>
        <w:rPr>
          <w:color w:val="000000"/>
          <w:highlight w:val="white"/>
        </w:rPr>
      </w:pPr>
      <w:r>
        <w:rPr>
          <w:color w:val="000000" w:themeColor="text1"/>
          <w:sz w:val="27"/>
          <w:lang w:val="ru-RU"/>
        </w:rPr>
        <w:t xml:space="preserve">6</w:t>
      </w:r>
      <w:r>
        <w:rPr>
          <w:color w:val="000000" w:themeColor="text1"/>
          <w:sz w:val="27"/>
          <w:highlight w:val="white"/>
        </w:rPr>
        <w:t xml:space="preserve">) выдача предостережений о недопустимости нарушения обязательных требований контролируемым лицам. </w:t>
      </w:r>
      <w:r>
        <w:rPr>
          <w:color w:val="000000" w:themeColor="text1"/>
          <w:sz w:val="27"/>
          <w:szCs w:val="28"/>
          <w:highlight w:val="white"/>
        </w:rPr>
      </w:r>
      <w:r/>
    </w:p>
    <w:p>
      <w:pPr>
        <w:ind w:firstLine="851"/>
        <w:jc w:val="both"/>
        <w:shd w:val="clear" w:color="auto" w:fill="ffffff"/>
      </w:pPr>
      <w:r>
        <w:rPr>
          <w:color w:val="000000"/>
          <w:sz w:val="27"/>
        </w:rPr>
        <w:t xml:space="preserve">В соответствии со ст. 45 Федеральный закон № 248-ФЗ проведены следующие профилактические мероприятия (по сос</w:t>
      </w:r>
      <w:r>
        <w:rPr>
          <w:color w:val="000000"/>
          <w:sz w:val="27"/>
        </w:rPr>
        <w:t xml:space="preserve">тоянию на 30 сентября 2022):</w:t>
      </w:r>
      <w:r/>
    </w:p>
    <w:p>
      <w:pPr>
        <w:ind w:firstLine="851"/>
        <w:jc w:val="both"/>
        <w:shd w:val="clear" w:color="auto" w:fill="ffffff"/>
      </w:pPr>
      <w:r>
        <w:rPr>
          <w:color w:val="000000"/>
          <w:sz w:val="27"/>
        </w:rPr>
        <w:t xml:space="preserve">- информирование – постоянно;</w:t>
      </w:r>
      <w:r/>
    </w:p>
    <w:p>
      <w:pPr>
        <w:ind w:firstLine="851"/>
        <w:jc w:val="both"/>
        <w:shd w:val="clear" w:color="auto" w:fill="ffffff"/>
        <w:rPr>
          <w:color w:val="000000"/>
        </w:rPr>
      </w:pPr>
      <w:r>
        <w:rPr>
          <w:color w:val="000000"/>
          <w:sz w:val="27"/>
        </w:rPr>
        <w:t xml:space="preserve">- проведено 20 консультирований.</w:t>
      </w:r>
      <w:r>
        <w:rPr>
          <w:color w:val="000000"/>
          <w:sz w:val="27"/>
        </w:rPr>
      </w:r>
      <w:r/>
    </w:p>
    <w:p>
      <w:pPr>
        <w:ind w:firstLine="851"/>
        <w:jc w:val="both"/>
        <w:spacing w:after="0" w:line="240" w:lineRule="auto"/>
        <w:tabs>
          <w:tab w:val="left" w:pos="0" w:leader="none"/>
          <w:tab w:val="left" w:pos="284" w:leader="none"/>
        </w:tabs>
        <w:rPr>
          <w:sz w:val="27"/>
          <w:szCs w:val="28"/>
          <w:highlight w:val="yellow"/>
        </w:rPr>
      </w:pPr>
      <w:r>
        <w:rPr>
          <w:sz w:val="27"/>
        </w:rPr>
      </w:r>
      <w:r>
        <w:rPr>
          <w:sz w:val="27"/>
        </w:rPr>
      </w:r>
      <w:r/>
    </w:p>
    <w:p>
      <w:pPr>
        <w:ind w:firstLine="851"/>
        <w:jc w:val="both"/>
        <w:spacing w:after="0" w:line="240" w:lineRule="auto"/>
        <w:tabs>
          <w:tab w:val="left" w:pos="0" w:leader="none"/>
          <w:tab w:val="left" w:pos="284" w:leader="none"/>
        </w:tabs>
        <w:rPr>
          <w:sz w:val="27"/>
          <w:szCs w:val="28"/>
          <w:highlight w:val="yellow"/>
        </w:rPr>
      </w:pPr>
      <w:r>
        <w:rPr>
          <w:sz w:val="27"/>
          <w:szCs w:val="28"/>
          <w:highlight w:val="yellow"/>
        </w:rPr>
      </w:r>
      <w:r>
        <w:rPr>
          <w:sz w:val="27"/>
          <w:szCs w:val="28"/>
          <w:highlight w:val="yellow"/>
        </w:rPr>
      </w:r>
      <w:r/>
    </w:p>
    <w:p>
      <w:pPr>
        <w:ind w:firstLine="851"/>
        <w:jc w:val="both"/>
        <w:spacing w:after="0" w:line="240" w:lineRule="auto"/>
        <w:tabs>
          <w:tab w:val="left" w:pos="0" w:leader="none"/>
          <w:tab w:val="left" w:pos="284" w:leader="none"/>
        </w:tabs>
        <w:rPr>
          <w:sz w:val="27"/>
          <w:szCs w:val="28"/>
          <w:highlight w:val="yellow"/>
        </w:rPr>
      </w:pPr>
      <w:r>
        <w:rPr>
          <w:sz w:val="27"/>
          <w:szCs w:val="28"/>
          <w:highlight w:val="yellow"/>
        </w:rPr>
      </w:r>
      <w:r>
        <w:rPr>
          <w:sz w:val="27"/>
          <w:szCs w:val="28"/>
          <w:highlight w:val="yellow"/>
        </w:rPr>
      </w:r>
      <w:r/>
    </w:p>
    <w:p>
      <w:pPr>
        <w:ind w:firstLine="851"/>
        <w:jc w:val="both"/>
        <w:shd w:val="clear" w:color="auto" w:fill="ffffff"/>
      </w:pPr>
      <w:r/>
      <w:r/>
    </w:p>
    <w:p>
      <w:pPr>
        <w:pStyle w:val="828"/>
        <w:ind w:left="283" w:hanging="283"/>
        <w:jc w:val="both"/>
        <w:shd w:val="clear" w:color="auto" w:fill="auto"/>
        <w:rPr>
          <w:rFonts w:ascii="Times New Roman" w:hAnsi="Times New Roman" w:cs="Times New Roman" w:eastAsia="Times New Roman"/>
          <w:lang w:val="ru-RU"/>
        </w:rPr>
      </w:pPr>
      <w:r>
        <w:rPr>
          <w:rFonts w:ascii="Times New Roman" w:hAnsi="Times New Roman" w:cs="Times New Roman" w:eastAsia="Times New Roman"/>
          <w:lang w:val="ru-RU"/>
        </w:rPr>
      </w:r>
      <w:r/>
    </w:p>
    <w:p>
      <w:pPr>
        <w:pStyle w:val="828"/>
        <w:ind w:firstLine="567"/>
        <w:jc w:val="both"/>
        <w:shd w:val="clear" w:color="auto" w:fill="auto"/>
        <w:rPr>
          <w:rFonts w:ascii="Times New Roman" w:hAnsi="Times New Roman" w:cs="Times New Roman" w:eastAsia="Times New Roman"/>
          <w:lang w:val="ru-RU"/>
        </w:rPr>
      </w:pPr>
      <w:r>
        <w:rPr>
          <w:rFonts w:ascii="Times New Roman" w:hAnsi="Times New Roman" w:cs="Times New Roman" w:eastAsia="Times New Roman"/>
          <w:lang w:val="ru-RU"/>
        </w:rPr>
      </w:r>
      <w:r/>
    </w:p>
    <w:p>
      <w:pPr>
        <w:ind w:firstLine="851"/>
      </w:pPr>
      <w:r>
        <w:rPr>
          <w:b/>
          <w:color w:val="000000"/>
          <w:sz w:val="27"/>
        </w:rPr>
        <w:t xml:space="preserve">3. Цели и задачи реализации программы профилактики.</w:t>
      </w:r>
      <w:r/>
    </w:p>
    <w:p>
      <w:pPr>
        <w:ind w:firstLine="851"/>
      </w:pPr>
      <w:r/>
      <w:r/>
    </w:p>
    <w:p>
      <w:pPr>
        <w:ind w:firstLine="851"/>
        <w:jc w:val="both"/>
      </w:pPr>
      <w:r>
        <w:rPr>
          <w:color w:val="000000"/>
          <w:sz w:val="27"/>
        </w:rPr>
        <w:t xml:space="preserve">Профилактика рисков причинения вреда (ущерба) охраняемым законом ценно</w:t>
      </w:r>
      <w:r>
        <w:rPr>
          <w:color w:val="000000"/>
          <w:sz w:val="27"/>
        </w:rPr>
        <w:t xml:space="preserve">стям направлена на достижение следующих основных целей:</w:t>
      </w:r>
      <w:r/>
    </w:p>
    <w:p>
      <w:pPr>
        <w:ind w:firstLine="851"/>
        <w:jc w:val="both"/>
      </w:pPr>
      <w:r>
        <w:rPr>
          <w:color w:val="000000"/>
          <w:sz w:val="27"/>
        </w:rPr>
        <w:t xml:space="preserve">1) стимулирование добросовестного соблюдения обязательных требований всеми контролируемыми лицами;</w:t>
      </w:r>
      <w:r/>
    </w:p>
    <w:p>
      <w:pPr>
        <w:ind w:firstLine="851"/>
        <w:jc w:val="both"/>
      </w:pPr>
      <w:r>
        <w:rPr>
          <w:color w:val="000000"/>
          <w:sz w:val="27"/>
        </w:rPr>
        <w:t xml:space="preserve">2) устранение условий, причин и факторов, способных привести к нарушениям обязательных требований и (</w:t>
      </w:r>
      <w:r>
        <w:rPr>
          <w:color w:val="000000"/>
          <w:sz w:val="27"/>
        </w:rPr>
        <w:t xml:space="preserve">или) причинению вреда (ущерба) охраняемым законом ценностям;</w:t>
      </w:r>
      <w:r/>
    </w:p>
    <w:p>
      <w:pPr>
        <w:ind w:firstLine="851"/>
        <w:jc w:val="both"/>
        <w:rPr>
          <w:rFonts w:ascii="TimesNewRoman" w:hAnsi="TimesNewRoman" w:cs="TimesNewRoman" w:eastAsia="TimesNewRoman"/>
        </w:rPr>
      </w:pPr>
      <w:r>
        <w:rPr>
          <w:color w:val="000000"/>
          <w:sz w:val="27"/>
        </w:rPr>
        <w:t xml:space="preserve">3) создание условий для доведения обязательных требований до контролируемых лиц, повышение информированности о способах их соблюдения.</w:t>
      </w:r>
      <w:r/>
    </w:p>
    <w:p>
      <w:pPr>
        <w:ind w:firstLine="567"/>
        <w:jc w:val="both"/>
        <w:rPr>
          <w:rFonts w:ascii="TimesNewRoman" w:hAnsi="TimesNewRoman" w:cs="TimesNewRoman" w:eastAsia="TimesNewRoman"/>
        </w:rPr>
      </w:pPr>
      <w:r>
        <w:rPr>
          <w:rFonts w:ascii="TimesNewRoman" w:hAnsi="TimesNewRoman" w:cs="TimesNewRoman" w:eastAsia="TimesNewRoman"/>
        </w:rPr>
      </w:r>
      <w:r/>
    </w:p>
    <w:tbl>
      <w:tblPr>
        <w:tblW w:w="9778" w:type="dxa"/>
        <w:tblInd w:w="0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3542"/>
        <w:gridCol w:w="2126"/>
        <w:gridCol w:w="1559"/>
        <w:gridCol w:w="2126"/>
      </w:tblGrid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" w:type="dxa"/>
            <w:textDirection w:val="lrTb"/>
            <w:noWrap w:val="false"/>
          </w:tcPr>
          <w:p>
            <w:pPr>
              <w:jc w:val="center"/>
              <w:tabs>
                <w:tab w:val="left" w:pos="709" w:leader="none"/>
              </w:tabs>
              <w:rPr>
                <w:rFonts w:ascii="TimesNewRoman" w:hAnsi="TimesNewRoman" w:cs="TimesNewRoman" w:eastAsia="TimesNewRoman"/>
              </w:rPr>
            </w:pPr>
            <w:r>
              <w:rPr>
                <w:rFonts w:ascii="TimesNewRoman" w:hAnsi="TimesNewRoman" w:cs="TimesNewRoman" w:eastAsia="TimesNewRoman"/>
                <w:color w:val="000000"/>
              </w:rPr>
              <w:t xml:space="preserve">п/п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42" w:type="dxa"/>
            <w:textDirection w:val="lrTb"/>
            <w:noWrap w:val="false"/>
          </w:tcPr>
          <w:p>
            <w:pPr>
              <w:jc w:val="center"/>
              <w:rPr>
                <w:rFonts w:ascii="TimesNewRoman" w:hAnsi="TimesNewRoman" w:cs="TimesNewRoman" w:eastAsia="TimesNewRoman"/>
              </w:rPr>
            </w:pPr>
            <w:r>
              <w:rPr>
                <w:rFonts w:ascii="TimesNewRoman" w:hAnsi="TimesNewRoman" w:cs="TimesNewRoman" w:eastAsia="TimesNewRoman"/>
                <w:color w:val="000000"/>
              </w:rPr>
              <w:t xml:space="preserve">Наименование мероприятия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NewRoman" w:hAnsi="TimesNewRoman" w:cs="TimesNewRoman" w:eastAsia="TimesNewRoman"/>
              </w:rPr>
            </w:pPr>
            <w:r>
              <w:rPr>
                <w:rFonts w:ascii="TimesNewRoman" w:hAnsi="TimesNewRoman" w:cs="TimesNewRoman" w:eastAsia="TimesNewRoman"/>
                <w:color w:val="000000"/>
              </w:rPr>
              <w:t xml:space="preserve">Ответственные исполнители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center"/>
              <w:rPr>
                <w:rFonts w:ascii="TimesNewRoman" w:hAnsi="TimesNewRoman" w:cs="TimesNewRoman" w:eastAsia="TimesNewRoman"/>
              </w:rPr>
            </w:pPr>
            <w:r>
              <w:rPr>
                <w:rFonts w:ascii="TimesNewRoman" w:hAnsi="TimesNewRoman" w:cs="TimesNewRoman" w:eastAsia="TimesNewRoman"/>
                <w:color w:val="000000"/>
              </w:rPr>
              <w:t xml:space="preserve">Ожид</w:t>
            </w:r>
            <w:r>
              <w:rPr>
                <w:rFonts w:ascii="TimesNewRoman" w:hAnsi="TimesNewRoman" w:cs="TimesNewRoman" w:eastAsia="TimesNewRoman"/>
                <w:color w:val="000000"/>
              </w:rPr>
              <w:t xml:space="preserve">аемый результат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NewRoman" w:hAnsi="TimesNewRoman" w:cs="TimesNewRoman" w:eastAsia="TimesNewRoman"/>
              </w:rPr>
            </w:pPr>
            <w:r>
              <w:rPr>
                <w:rFonts w:ascii="TimesNewRoman" w:hAnsi="TimesNewRoman" w:cs="TimesNewRoman" w:eastAsia="TimesNewRoman"/>
                <w:color w:val="000000"/>
              </w:rPr>
              <w:t xml:space="preserve">Сроки исполнения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" w:type="dxa"/>
            <w:textDirection w:val="lrTb"/>
            <w:noWrap w:val="false"/>
          </w:tcPr>
          <w:p>
            <w:pPr>
              <w:jc w:val="center"/>
              <w:rPr>
                <w:rFonts w:ascii="TimesNewRoman" w:hAnsi="TimesNewRoman" w:cs="TimesNewRoman" w:eastAsia="TimesNewRoman"/>
              </w:rPr>
            </w:pPr>
            <w:r>
              <w:rPr>
                <w:rFonts w:ascii="TimesNewRoman" w:hAnsi="TimesNewRoman" w:cs="TimesNewRoman" w:eastAsia="TimesNewRoman"/>
                <w:color w:val="000000"/>
              </w:rPr>
              <w:t xml:space="preserve">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42" w:type="dxa"/>
            <w:textDirection w:val="lrTb"/>
            <w:noWrap w:val="false"/>
          </w:tcPr>
          <w:p>
            <w:pPr>
              <w:jc w:val="center"/>
              <w:rPr>
                <w:rFonts w:ascii="TimesNewRoman" w:hAnsi="TimesNewRoman" w:cs="TimesNewRoman" w:eastAsia="TimesNewRoman"/>
              </w:rPr>
            </w:pPr>
            <w:r>
              <w:rPr>
                <w:rFonts w:ascii="TimesNewRoman" w:hAnsi="TimesNewRoman" w:cs="TimesNewRoman" w:eastAsia="TimesNewRoman"/>
                <w:color w:val="000000"/>
              </w:rPr>
              <w:t xml:space="preserve">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NewRoman" w:hAnsi="TimesNewRoman" w:cs="TimesNewRoman" w:eastAsia="TimesNewRoman"/>
              </w:rPr>
            </w:pPr>
            <w:r>
              <w:rPr>
                <w:rFonts w:ascii="TimesNewRoman" w:hAnsi="TimesNewRoman" w:cs="TimesNewRoman" w:eastAsia="TimesNewRoman"/>
                <w:color w:val="000000"/>
              </w:rPr>
              <w:t xml:space="preserve">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center"/>
              <w:rPr>
                <w:rFonts w:ascii="TimesNewRoman" w:hAnsi="TimesNewRoman" w:cs="TimesNewRoman" w:eastAsia="TimesNewRoman"/>
              </w:rPr>
            </w:pPr>
            <w:r>
              <w:rPr>
                <w:rFonts w:ascii="TimesNewRoman" w:hAnsi="TimesNewRoman" w:cs="TimesNewRoman" w:eastAsia="TimesNew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NewRoman" w:hAnsi="TimesNewRoman" w:cs="TimesNewRoman" w:eastAsia="TimesNewRoman"/>
              </w:rPr>
            </w:pPr>
            <w:r>
              <w:rPr>
                <w:rFonts w:ascii="TimesNewRoman" w:hAnsi="TimesNewRoman" w:cs="TimesNewRoman" w:eastAsia="TimesNewRoman"/>
                <w:color w:val="000000"/>
              </w:rPr>
              <w:t xml:space="preserve">5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" w:type="dxa"/>
            <w:textDirection w:val="lrTb"/>
            <w:noWrap w:val="false"/>
          </w:tcPr>
          <w:p>
            <w:pPr>
              <w:jc w:val="center"/>
              <w:rPr>
                <w:rFonts w:ascii="TimesNewRoman" w:hAnsi="TimesNewRoman" w:cs="TimesNewRoman" w:eastAsia="TimesNewRoman"/>
              </w:rPr>
            </w:pPr>
            <w:r>
              <w:rPr>
                <w:rFonts w:ascii="TimesNewRoman" w:hAnsi="TimesNewRoman" w:cs="TimesNewRoman" w:eastAsia="TimesNewRoman"/>
                <w:color w:val="000000"/>
              </w:rPr>
              <w:t xml:space="preserve">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42" w:type="dxa"/>
            <w:textDirection w:val="lrTb"/>
            <w:noWrap w:val="false"/>
          </w:tcPr>
          <w:p>
            <w:pPr>
              <w:jc w:val="both"/>
              <w:rPr>
                <w:rFonts w:ascii="TimesNewRoman" w:hAnsi="TimesNewRoman" w:cs="TimesNewRoman" w:eastAsia="TimesNewRoman"/>
              </w:rPr>
            </w:pPr>
            <w:r>
              <w:rPr>
                <w:rFonts w:ascii="TimesNewRoman" w:hAnsi="TimesNewRoman" w:cs="TimesNewRoman" w:eastAsia="TimesNewRoman"/>
                <w:color w:val="000000"/>
              </w:rPr>
              <w:t xml:space="preserve">Размещение и актуализация документов (информации) обязательной для размещения на официальном сайте Министерства в том числе:</w:t>
            </w:r>
            <w:r/>
          </w:p>
          <w:p>
            <w:pPr>
              <w:jc w:val="both"/>
              <w:rPr>
                <w:rFonts w:ascii="TimesNewRoman" w:hAnsi="TimesNewRoman" w:cs="TimesNewRoman" w:eastAsia="TimesNewRoman"/>
              </w:rPr>
            </w:pPr>
            <w:r>
              <w:rPr>
                <w:rFonts w:ascii="TimesNewRoman" w:hAnsi="TimesNewRoman" w:cs="TimesNewRoman" w:eastAsia="TimesNewRoman"/>
                <w:color w:val="000000"/>
              </w:rPr>
              <w:t xml:space="preserve">- тексты нормативных правовых актов, регулирующих осуществление </w:t>
            </w:r>
            <w:r>
              <w:rPr>
                <w:rFonts w:ascii="TimesNewRoman" w:hAnsi="TimesNewRoman" w:cs="TimesNewRoman" w:eastAsia="TimesNewRoman"/>
                <w:color w:val="000000"/>
              </w:rPr>
              <w:t xml:space="preserve">регионального государственного контроля (надзора); </w:t>
            </w:r>
            <w:r/>
          </w:p>
          <w:p>
            <w:pPr>
              <w:jc w:val="both"/>
              <w:rPr>
                <w:rFonts w:ascii="TimesNewRoman" w:hAnsi="TimesNewRoman" w:cs="TimesNewRoman" w:eastAsia="TimesNewRoman"/>
              </w:rPr>
            </w:pPr>
            <w:r>
              <w:rPr>
                <w:rFonts w:ascii="TimesNewRoman" w:hAnsi="TimesNewRoman" w:cs="TimesNewRoman" w:eastAsia="TimesNewRoman"/>
                <w:color w:val="000000"/>
              </w:rPr>
              <w:t xml:space="preserve">- сведения об изменениях, внесенных в нормативные правовые акты, регулирующие осуществление регионального государственного контроля (надзора), о сроках и порядке их вступления в силу; </w:t>
            </w:r>
            <w:r/>
          </w:p>
          <w:p>
            <w:pPr>
              <w:jc w:val="both"/>
              <w:rPr>
                <w:rFonts w:ascii="TimesNewRoman" w:hAnsi="TimesNewRoman" w:cs="TimesNewRoman" w:eastAsia="TimesNewRoman"/>
              </w:rPr>
            </w:pPr>
            <w:r>
              <w:rPr>
                <w:rFonts w:ascii="TimesNewRoman" w:hAnsi="TimesNewRoman" w:cs="TimesNewRoman" w:eastAsia="TimesNewRoman"/>
                <w:color w:val="000000"/>
              </w:rPr>
              <w:t xml:space="preserve">- перечень норматив</w:t>
            </w:r>
            <w:r>
              <w:rPr>
                <w:rFonts w:ascii="TimesNewRoman" w:hAnsi="TimesNewRoman" w:cs="TimesNewRoman" w:eastAsia="TimesNewRoman"/>
                <w:color w:val="000000"/>
              </w:rPr>
              <w:t xml:space="preserve">ных правовых актов с указанием структурных единиц этих актов, содержащих обязательные требования, оценка соблюдения которых является предметом контроля, а также информацию о мерах ответственности, применяемых при нарушении обязательных требований, с текста</w:t>
            </w:r>
            <w:r>
              <w:rPr>
                <w:rFonts w:ascii="TimesNewRoman" w:hAnsi="TimesNewRoman" w:cs="TimesNewRoman" w:eastAsia="TimesNewRoman"/>
                <w:color w:val="000000"/>
              </w:rPr>
              <w:t xml:space="preserve">ми в действующей редакции; </w:t>
            </w:r>
            <w:r/>
          </w:p>
          <w:p>
            <w:pPr>
              <w:jc w:val="both"/>
              <w:rPr>
                <w:rFonts w:ascii="TimesNewRoman" w:hAnsi="TimesNewRoman" w:cs="TimesNewRoman" w:eastAsia="TimesNewRoman"/>
              </w:rPr>
            </w:pPr>
            <w:r>
              <w:rPr>
                <w:rFonts w:ascii="TimesNewRoman" w:hAnsi="TimesNewRoman" w:cs="TimesNewRoman" w:eastAsia="TimesNewRoman"/>
                <w:color w:val="000000"/>
              </w:rPr>
              <w:t xml:space="preserve">- руководства по соблюдению обязательных требований, разработанные и утвержденные в соответствии с Федеральным законом от 31.07.2020 № 247-ФЗ «Об обязательных требованиях в Российской Федерации»; </w:t>
            </w:r>
            <w:r/>
          </w:p>
          <w:p>
            <w:pPr>
              <w:jc w:val="both"/>
              <w:rPr>
                <w:rFonts w:ascii="TimesNewRoman" w:hAnsi="TimesNewRoman" w:cs="TimesNewRoman" w:eastAsia="TimesNewRoman"/>
              </w:rPr>
            </w:pPr>
            <w:r>
              <w:rPr>
                <w:rFonts w:ascii="TimesNewRoman" w:hAnsi="TimesNewRoman" w:cs="TimesNewRoman" w:eastAsia="TimesNewRoman"/>
                <w:color w:val="000000"/>
              </w:rPr>
              <w:t xml:space="preserve">- перечень индикаторов риска на</w:t>
            </w:r>
            <w:r>
              <w:rPr>
                <w:rFonts w:ascii="TimesNewRoman" w:hAnsi="TimesNewRoman" w:cs="TimesNewRoman" w:eastAsia="TimesNewRoman"/>
                <w:color w:val="000000"/>
              </w:rPr>
              <w:t xml:space="preserve">рушения обязательных требований; </w:t>
            </w:r>
            <w:r/>
          </w:p>
          <w:p>
            <w:pPr>
              <w:jc w:val="both"/>
              <w:rPr>
                <w:rFonts w:ascii="TimesNewRoman" w:hAnsi="TimesNewRoman" w:cs="TimesNewRoman" w:eastAsia="TimesNewRoman"/>
              </w:rPr>
            </w:pPr>
            <w:r>
              <w:rPr>
                <w:rFonts w:ascii="TimesNewRoman" w:hAnsi="TimesNewRoman" w:cs="TimesNewRoman" w:eastAsia="TimesNewRoman"/>
                <w:color w:val="000000"/>
              </w:rPr>
              <w:t xml:space="preserve">- программа профилактики рисков причинения вреда (ущерба) охраняемым законом ценностям при осуществлении регионального государственного контроля (надзора) на автомобильном транспорте, </w:t>
            </w:r>
            <w:r>
              <w:rPr>
                <w:rFonts w:ascii="TimesNewRoman" w:hAnsi="TimesNewRoman" w:cs="TimesNewRoman" w:eastAsia="TimesNewRoman"/>
                <w:color w:val="000000"/>
              </w:rPr>
              <w:t xml:space="preserve">городском наземном электрическом транс</w:t>
            </w:r>
            <w:r>
              <w:rPr>
                <w:rFonts w:ascii="TimesNewRoman" w:hAnsi="TimesNewRoman" w:cs="TimesNewRoman" w:eastAsia="TimesNewRoman"/>
                <w:color w:val="000000"/>
              </w:rPr>
              <w:t xml:space="preserve">порте и в дорожном хозяйстве на территории Пензенской области в части сохранности автомобильных дорог регионального и межмуниципального значения на 2023 год;</w:t>
            </w:r>
            <w:r/>
          </w:p>
          <w:p>
            <w:pPr>
              <w:jc w:val="both"/>
              <w:rPr>
                <w:rFonts w:ascii="TimesNewRoman" w:hAnsi="TimesNewRoman" w:cs="TimesNewRoman" w:eastAsia="TimesNewRoman"/>
              </w:rPr>
            </w:pPr>
            <w:r>
              <w:rPr>
                <w:rFonts w:ascii="TimesNewRoman" w:hAnsi="TimesNewRoman" w:cs="TimesNewRoman" w:eastAsia="TimesNewRoman"/>
                <w:color w:val="000000"/>
              </w:rPr>
              <w:t xml:space="preserve">- исчерпывающий перечень сведений, которые могут запрашиваться контрольным (над</w:t>
            </w:r>
            <w:r>
              <w:rPr>
                <w:rFonts w:ascii="TimesNewRoman" w:hAnsi="TimesNewRoman" w:cs="TimesNewRoman" w:eastAsia="TimesNewRoman"/>
                <w:color w:val="000000"/>
              </w:rPr>
              <w:t xml:space="preserve">зорным) органом у контролируемого лица</w:t>
            </w:r>
            <w:r/>
          </w:p>
          <w:p>
            <w:pPr>
              <w:jc w:val="both"/>
              <w:rPr>
                <w:rFonts w:ascii="TimesNewRoman" w:hAnsi="TimesNewRoman" w:cs="TimesNewRoman" w:eastAsia="TimesNewRoman"/>
              </w:rPr>
            </w:pPr>
            <w:r>
              <w:rPr>
                <w:rFonts w:ascii="TimesNewRoman" w:hAnsi="TimesNewRoman" w:cs="TimesNewRoman" w:eastAsia="TimesNewRoman"/>
                <w:color w:val="000000"/>
              </w:rPr>
              <w:t xml:space="preserve">- сведения о способах получения консультации по вопросам соблюдения обязательных требований;</w:t>
            </w:r>
            <w:r/>
          </w:p>
          <w:p>
            <w:pPr>
              <w:jc w:val="both"/>
              <w:rPr>
                <w:rFonts w:ascii="TimesNewRoman" w:hAnsi="TimesNewRoman" w:cs="TimesNewRoman" w:eastAsia="TimesNewRoman"/>
              </w:rPr>
            </w:pPr>
            <w:r>
              <w:rPr>
                <w:rFonts w:ascii="TimesNewRoman" w:hAnsi="TimesNewRoman" w:cs="TimesNewRoman" w:eastAsia="TimesNewRoman"/>
                <w:color w:val="000000"/>
              </w:rPr>
              <w:t xml:space="preserve">- сведения о порядке досудебного обжалования решений Министерства, действий (бездействия) его должностных лиц; </w:t>
            </w:r>
            <w:r/>
          </w:p>
          <w:p>
            <w:pPr>
              <w:jc w:val="both"/>
              <w:rPr>
                <w:rFonts w:ascii="TimesNewRoman" w:hAnsi="TimesNewRoman" w:cs="TimesNewRoman" w:eastAsia="TimesNewRoman"/>
              </w:rPr>
            </w:pPr>
            <w:r>
              <w:rPr>
                <w:rFonts w:ascii="TimesNewRoman" w:hAnsi="TimesNewRoman" w:cs="TimesNewRoman" w:eastAsia="TimesNewRoman"/>
                <w:color w:val="000000"/>
              </w:rPr>
              <w:t xml:space="preserve">- доклады, с</w:t>
            </w:r>
            <w:r>
              <w:rPr>
                <w:rFonts w:ascii="TimesNewRoman" w:hAnsi="TimesNewRoman" w:cs="TimesNewRoman" w:eastAsia="TimesNewRoman"/>
                <w:color w:val="000000"/>
              </w:rPr>
              <w:t xml:space="preserve">одержащие результаты обобщения правоприменительной практики Министерства;</w:t>
            </w:r>
            <w:r/>
          </w:p>
          <w:p>
            <w:pPr>
              <w:jc w:val="both"/>
              <w:rPr>
                <w:rFonts w:ascii="TimesNewRoman" w:hAnsi="TimesNewRoman" w:cs="TimesNewRoman" w:eastAsia="TimesNewRoman"/>
              </w:rPr>
            </w:pPr>
            <w:r>
              <w:rPr>
                <w:rFonts w:ascii="TimesNewRoman" w:hAnsi="TimesNewRoman" w:cs="TimesNewRoman" w:eastAsia="TimesNewRoman"/>
                <w:color w:val="000000"/>
              </w:rPr>
              <w:t xml:space="preserve">- доклад о региональном государственном контроле (надзоре) на автомобильном транспорте, городском наземном электрическом транспорте и в дорожном хозяйстве на территории Пензенской об</w:t>
            </w:r>
            <w:r>
              <w:rPr>
                <w:rFonts w:ascii="TimesNewRoman" w:hAnsi="TimesNewRoman" w:cs="TimesNewRoman" w:eastAsia="TimesNewRoman"/>
                <w:color w:val="000000"/>
              </w:rPr>
              <w:t xml:space="preserve">ласти в части сохранности автомобильных дорог регионального и межмуниципального значения.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rPr>
                <w:rFonts w:ascii="TimesNewRoman" w:hAnsi="TimesNewRoman" w:cs="TimesNewRoman" w:eastAsia="TimesNewRoman"/>
              </w:rPr>
            </w:pPr>
            <w:r>
              <w:rPr>
                <w:rFonts w:ascii="TimesNewRoman" w:hAnsi="TimesNewRoman" w:cs="TimesNewRoman" w:eastAsia="TimesNewRoman"/>
                <w:color w:val="000000"/>
              </w:rPr>
              <w:t xml:space="preserve">Начальник и заместитель начальника Управления (инспекции) государственного строительного надзора, долевого строительства и сохранности автомобильных дорог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center"/>
              <w:rPr>
                <w:rFonts w:ascii="TimesNewRoman" w:hAnsi="TimesNewRoman" w:cs="TimesNewRoman" w:eastAsia="TimesNewRoman"/>
              </w:rPr>
            </w:pPr>
            <w:r>
              <w:rPr>
                <w:rFonts w:ascii="TimesNewRoman" w:hAnsi="TimesNewRoman" w:cs="TimesNewRoman" w:eastAsia="TimesNewRoman"/>
                <w:color w:val="000000"/>
              </w:rPr>
              <w:t xml:space="preserve">Повышение и</w:t>
            </w:r>
            <w:r>
              <w:rPr>
                <w:rFonts w:ascii="TimesNewRoman" w:hAnsi="TimesNewRoman" w:cs="TimesNewRoman" w:eastAsia="TimesNewRoman"/>
                <w:color w:val="000000"/>
              </w:rPr>
              <w:t xml:space="preserve">нформированности контролируемых лиц о действующих обязательных требованиях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NewRoman" w:hAnsi="TimesNewRoman" w:cs="TimesNewRoman" w:eastAsia="TimesNewRoman"/>
              </w:rPr>
            </w:pPr>
            <w:r>
              <w:rPr>
                <w:rFonts w:ascii="TimesNewRoman" w:hAnsi="TimesNewRoman" w:cs="TimesNewRoman" w:eastAsia="TimesNewRoman"/>
                <w:color w:val="000000"/>
              </w:rPr>
              <w:t xml:space="preserve">с 01.01.2023 по 31.12.2023 </w:t>
            </w:r>
            <w:r/>
          </w:p>
          <w:p>
            <w:pPr>
              <w:jc w:val="center"/>
              <w:rPr>
                <w:rFonts w:ascii="TimesNewRoman" w:hAnsi="TimesNewRoman" w:cs="TimesNewRoman" w:eastAsia="TimesNewRoman"/>
              </w:rPr>
            </w:pPr>
            <w:r>
              <w:rPr>
                <w:rFonts w:ascii="TimesNewRoman" w:hAnsi="TimesNewRoman" w:cs="TimesNewRoman" w:eastAsia="TimesNewRoman"/>
                <w:color w:val="000000"/>
              </w:rPr>
              <w:t xml:space="preserve">по мере необходимости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" w:type="dxa"/>
            <w:textDirection w:val="lrTb"/>
            <w:noWrap w:val="false"/>
          </w:tcPr>
          <w:p>
            <w:pPr>
              <w:jc w:val="center"/>
              <w:rPr>
                <w:rFonts w:ascii="TimesNewRoman" w:hAnsi="TimesNewRoman" w:cs="TimesNewRoman" w:eastAsia="TimesNewRoman"/>
              </w:rPr>
            </w:pPr>
            <w:r>
              <w:rPr>
                <w:rFonts w:ascii="TimesNewRoman" w:hAnsi="TimesNewRoman" w:cs="TimesNewRoman" w:eastAsia="TimesNewRoman"/>
                <w:color w:val="000000"/>
              </w:rPr>
              <w:t xml:space="preserve">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42" w:type="dxa"/>
            <w:textDirection w:val="lrTb"/>
            <w:noWrap w:val="false"/>
          </w:tcPr>
          <w:p>
            <w:pPr>
              <w:jc w:val="both"/>
              <w:rPr>
                <w:rFonts w:ascii="TimesNewRoman" w:hAnsi="TimesNewRoman" w:cs="TimesNewRoman" w:eastAsia="TimesNewRoman"/>
              </w:rPr>
            </w:pPr>
            <w:r>
              <w:rPr>
                <w:rFonts w:ascii="TimesNewRoman" w:hAnsi="TimesNewRoman" w:cs="TimesNewRoman" w:eastAsia="TimesNewRoman"/>
                <w:color w:val="000000"/>
              </w:rPr>
              <w:t xml:space="preserve">Консультирование контролируемых лиц (по телефону «горячая линия», посредством видео-конференц-связи на семинарах, на личном при</w:t>
            </w:r>
            <w:r>
              <w:rPr>
                <w:rFonts w:ascii="TimesNewRoman" w:hAnsi="TimesNewRoman" w:cs="TimesNewRoman" w:eastAsia="TimesNewRoman"/>
                <w:color w:val="000000"/>
              </w:rPr>
              <w:t xml:space="preserve">еме) по вопросам:</w:t>
            </w:r>
            <w:r/>
          </w:p>
          <w:p>
            <w:pPr>
              <w:jc w:val="both"/>
              <w:rPr>
                <w:rFonts w:ascii="TimesNewRoman" w:hAnsi="TimesNewRoman" w:cs="TimesNewRoman" w:eastAsia="TimesNewRoman"/>
              </w:rPr>
            </w:pPr>
            <w:r>
              <w:rPr>
                <w:rFonts w:ascii="TimesNewRoman" w:hAnsi="TimesNewRoman" w:cs="TimesNewRoman" w:eastAsia="TimesNewRoman"/>
                <w:color w:val="000000"/>
              </w:rPr>
              <w:t xml:space="preserve">- разъяснения положений нормативных правовых актов РФ, содержащих обязательные требования, соблюдения которых является предметом регионального государственного контроля (надзора);</w:t>
            </w:r>
            <w:r/>
          </w:p>
          <w:p>
            <w:pPr>
              <w:jc w:val="both"/>
              <w:rPr>
                <w:rFonts w:ascii="TimesNewRoman" w:hAnsi="TimesNewRoman" w:cs="TimesNewRoman" w:eastAsia="TimesNewRoman"/>
              </w:rPr>
            </w:pPr>
            <w:r>
              <w:rPr>
                <w:rFonts w:ascii="TimesNewRoman" w:hAnsi="TimesNewRoman" w:cs="TimesNewRoman" w:eastAsia="TimesNewRoman"/>
                <w:color w:val="000000"/>
              </w:rPr>
              <w:t xml:space="preserve">- разъяснения положения нормативных правовых актов РФ, рег</w:t>
            </w:r>
            <w:r>
              <w:rPr>
                <w:rFonts w:ascii="TimesNewRoman" w:hAnsi="TimesNewRoman" w:cs="TimesNewRoman" w:eastAsia="TimesNewRoman"/>
                <w:color w:val="000000"/>
              </w:rPr>
              <w:t xml:space="preserve">ламентирующих порядок осуществления регионального государственного контроля (надзора);</w:t>
            </w:r>
            <w:r/>
          </w:p>
          <w:p>
            <w:pPr>
              <w:jc w:val="both"/>
              <w:rPr>
                <w:rFonts w:ascii="TimesNewRoman" w:hAnsi="TimesNewRoman" w:cs="TimesNewRoman" w:eastAsia="TimesNewRoman"/>
              </w:rPr>
            </w:pPr>
            <w:r>
              <w:rPr>
                <w:rFonts w:ascii="TimesNewRoman" w:hAnsi="TimesNewRoman" w:cs="TimesNewRoman" w:eastAsia="TimesNewRoman"/>
                <w:color w:val="000000"/>
              </w:rPr>
              <w:t xml:space="preserve">- порядок обжалования действий (бездействия) должностных лиц. Учет проведенных консультаций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rPr>
                <w:rFonts w:ascii="TimesNewRoman" w:hAnsi="TimesNewRoman" w:cs="TimesNewRoman" w:eastAsia="TimesNewRoman"/>
              </w:rPr>
            </w:pPr>
            <w:r>
              <w:rPr>
                <w:rFonts w:ascii="TimesNewRoman" w:hAnsi="TimesNewRoman" w:cs="TimesNewRoman" w:eastAsia="TimesNewRoman"/>
                <w:color w:val="000000"/>
              </w:rPr>
              <w:t xml:space="preserve">Начальник и заместитель начальника Управления (инспекции) государственного строительного надзора, долевого строительства и сохранности автомобильных дорог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center"/>
              <w:rPr>
                <w:rFonts w:ascii="TimesNewRoman" w:hAnsi="TimesNewRoman" w:cs="TimesNewRoman" w:eastAsia="TimesNewRoman"/>
              </w:rPr>
            </w:pPr>
            <w:r>
              <w:rPr>
                <w:rFonts w:ascii="TimesNewRoman" w:hAnsi="TimesNewRoman" w:cs="TimesNewRoman" w:eastAsia="TimesNewRoman"/>
                <w:color w:val="000000"/>
              </w:rPr>
              <w:t xml:space="preserve">Повышение информированности контролируемых лиц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NewRoman" w:hAnsi="TimesNewRoman" w:cs="TimesNewRoman" w:eastAsia="TimesNewRoman"/>
              </w:rPr>
            </w:pPr>
            <w:r>
              <w:rPr>
                <w:rFonts w:ascii="TimesNewRoman" w:hAnsi="TimesNewRoman" w:cs="TimesNewRoman" w:eastAsia="TimesNewRoman"/>
                <w:color w:val="000000"/>
              </w:rPr>
              <w:t xml:space="preserve">По мере поступления обращений от контролируемых лиц, </w:t>
            </w:r>
            <w:r>
              <w:rPr>
                <w:rFonts w:ascii="TimesNewRoman" w:hAnsi="TimesNewRoman" w:cs="TimesNewRoman" w:eastAsia="TimesNewRoman"/>
                <w:color w:val="000000"/>
              </w:rPr>
              <w:t xml:space="preserve">в соответствии с графиком консультаций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" w:type="dxa"/>
            <w:textDirection w:val="lrTb"/>
            <w:noWrap w:val="false"/>
          </w:tcPr>
          <w:p>
            <w:pPr>
              <w:jc w:val="center"/>
              <w:rPr>
                <w:rFonts w:ascii="TimesNewRoman" w:hAnsi="TimesNewRoman" w:cs="TimesNewRoman" w:eastAsia="TimesNewRoman"/>
              </w:rPr>
            </w:pPr>
            <w:r>
              <w:rPr>
                <w:rFonts w:ascii="TimesNewRoman" w:hAnsi="TimesNewRoman" w:cs="TimesNewRoman" w:eastAsia="TimesNewRoman"/>
                <w:color w:val="000000"/>
              </w:rPr>
              <w:t xml:space="preserve">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42" w:type="dxa"/>
            <w:textDirection w:val="lrTb"/>
            <w:noWrap w:val="false"/>
          </w:tcPr>
          <w:p>
            <w:pPr>
              <w:jc w:val="both"/>
              <w:rPr>
                <w:rFonts w:ascii="TimesNewRoman" w:hAnsi="TimesNewRoman" w:cs="TimesNewRoman" w:eastAsia="TimesNewRoman"/>
              </w:rPr>
            </w:pPr>
            <w:r>
              <w:rPr>
                <w:rFonts w:ascii="TimesNewRoman" w:hAnsi="TimesNewRoman" w:cs="TimesNewRoman" w:eastAsia="TimesNewRoman"/>
                <w:color w:val="000000"/>
              </w:rPr>
              <w:t xml:space="preserve">Объявление предостережений о недопустимости нарушений обязательных требований.</w:t>
            </w:r>
            <w:r/>
          </w:p>
          <w:p>
            <w:pPr>
              <w:jc w:val="both"/>
              <w:rPr>
                <w:rFonts w:ascii="TimesNewRoman" w:hAnsi="TimesNewRoman" w:cs="TimesNewRoman" w:eastAsia="TimesNewRoman"/>
              </w:rPr>
            </w:pPr>
            <w:r>
              <w:rPr>
                <w:rFonts w:ascii="TimesNewRoman" w:hAnsi="TimesNewRoman" w:cs="TimesNewRoman" w:eastAsia="TimesNewRoman"/>
                <w:color w:val="000000"/>
              </w:rPr>
              <w:t xml:space="preserve">Учет объявленных предостережений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rPr>
                <w:rFonts w:ascii="TimesNewRoman" w:hAnsi="TimesNewRoman" w:cs="TimesNewRoman" w:eastAsia="TimesNewRoman"/>
              </w:rPr>
            </w:pPr>
            <w:r>
              <w:rPr>
                <w:rFonts w:ascii="TimesNewRoman" w:hAnsi="TimesNewRoman" w:cs="TimesNewRoman" w:eastAsia="TimesNewRoman"/>
                <w:color w:val="000000"/>
              </w:rPr>
              <w:t xml:space="preserve">Должностные лица Управления (инспекции) государственного строительного надзора, долевого строительства</w:t>
            </w:r>
            <w:r>
              <w:rPr>
                <w:rFonts w:ascii="TimesNewRoman" w:hAnsi="TimesNewRoman" w:cs="TimesNewRoman" w:eastAsia="TimesNewRoman"/>
                <w:color w:val="000000"/>
              </w:rPr>
              <w:t xml:space="preserve"> и сохранности автомобильных дорог</w:t>
            </w:r>
            <w:r/>
          </w:p>
          <w:p>
            <w:pPr>
              <w:rPr>
                <w:rFonts w:ascii="TimesNewRoman" w:hAnsi="TimesNewRoman" w:cs="TimesNewRoman" w:eastAsia="TimesNewRoman"/>
              </w:rPr>
            </w:pPr>
            <w:r>
              <w:rPr>
                <w:rFonts w:ascii="TimesNewRoman" w:hAnsi="TimesNewRoman" w:cs="TimesNewRoman" w:eastAsia="TimesNew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center"/>
              <w:rPr>
                <w:rFonts w:ascii="TimesNewRoman" w:hAnsi="TimesNewRoman" w:cs="TimesNewRoman" w:eastAsia="TimesNewRoman"/>
              </w:rPr>
            </w:pPr>
            <w:r>
              <w:rPr>
                <w:rFonts w:ascii="TimesNewRoman" w:hAnsi="TimesNewRoman" w:cs="TimesNewRoman" w:eastAsia="TimesNewRoman"/>
                <w:color w:val="000000"/>
              </w:rPr>
              <w:t xml:space="preserve">Предотвращение нарушений обязательных требований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NewRoman" w:hAnsi="TimesNewRoman" w:cs="TimesNewRoman" w:eastAsia="TimesNewRoman"/>
              </w:rPr>
            </w:pPr>
            <w:r>
              <w:rPr>
                <w:rFonts w:ascii="TimesNewRoman" w:hAnsi="TimesNewRoman" w:cs="TimesNewRoman" w:eastAsia="TimesNewRoman"/>
                <w:color w:val="000000"/>
              </w:rPr>
              <w:t xml:space="preserve">При наличии сведений о готовящихся или возможных нарушениях обязательных требований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" w:type="dxa"/>
            <w:textDirection w:val="lrTb"/>
            <w:noWrap w:val="false"/>
          </w:tcPr>
          <w:p>
            <w:pPr>
              <w:jc w:val="center"/>
              <w:rPr>
                <w:rFonts w:ascii="TimesNewRoman" w:hAnsi="TimesNewRoman" w:cs="TimesNewRoman" w:eastAsia="TimesNewRoman"/>
              </w:rPr>
            </w:pPr>
            <w:r>
              <w:rPr>
                <w:rFonts w:ascii="TimesNewRoman" w:hAnsi="TimesNewRoman" w:cs="TimesNewRoman" w:eastAsia="TimesNewRoman"/>
                <w:color w:val="000000"/>
              </w:rPr>
              <w:t xml:space="preserve">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42" w:type="dxa"/>
            <w:textDirection w:val="lrTb"/>
            <w:noWrap w:val="false"/>
          </w:tcPr>
          <w:p>
            <w:pPr>
              <w:jc w:val="both"/>
              <w:rPr>
                <w:rFonts w:ascii="TimesNewRoman" w:hAnsi="TimesNewRoman" w:cs="TimesNewRoman" w:eastAsia="TimesNewRoman"/>
              </w:rPr>
            </w:pPr>
            <w:r>
              <w:rPr>
                <w:rFonts w:ascii="TimesNewRoman" w:hAnsi="TimesNewRoman" w:cs="TimesNewRoman" w:eastAsia="TimesNewRoman"/>
                <w:color w:val="000000"/>
              </w:rPr>
              <w:t xml:space="preserve">Профилактическая беседа по месту осуществления деятельности контролируемого лица либо путем использования видео-конференц-связи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rPr>
                <w:rFonts w:ascii="TimesNewRoman" w:hAnsi="TimesNewRoman" w:cs="TimesNewRoman" w:eastAsia="TimesNewRoman"/>
              </w:rPr>
            </w:pPr>
            <w:r>
              <w:rPr>
                <w:rFonts w:ascii="TimesNewRoman" w:hAnsi="TimesNewRoman" w:cs="TimesNewRoman" w:eastAsia="TimesNewRoman"/>
                <w:color w:val="000000"/>
              </w:rPr>
              <w:t xml:space="preserve">Должностные лица Управления (инспекции) государственного строительного надзора, долевого строительства и сохранности автомобильн</w:t>
            </w:r>
            <w:r>
              <w:rPr>
                <w:rFonts w:ascii="TimesNewRoman" w:hAnsi="TimesNewRoman" w:cs="TimesNewRoman" w:eastAsia="TimesNewRoman"/>
                <w:color w:val="000000"/>
              </w:rPr>
              <w:t xml:space="preserve">ых дорог</w:t>
            </w:r>
            <w:r/>
          </w:p>
          <w:p>
            <w:pPr>
              <w:rPr>
                <w:rFonts w:ascii="TimesNewRoman" w:hAnsi="TimesNewRoman" w:cs="TimesNewRoman" w:eastAsia="TimesNewRoman"/>
              </w:rPr>
            </w:pPr>
            <w:r>
              <w:rPr>
                <w:rFonts w:ascii="TimesNewRoman" w:hAnsi="TimesNewRoman" w:cs="TimesNewRoman" w:eastAsia="TimesNew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center"/>
              <w:rPr>
                <w:rFonts w:ascii="TimesNewRoman" w:hAnsi="TimesNewRoman" w:cs="TimesNewRoman" w:eastAsia="TimesNewRoman"/>
              </w:rPr>
            </w:pPr>
            <w:r>
              <w:rPr>
                <w:rFonts w:ascii="TimesNewRoman" w:hAnsi="TimesNewRoman" w:cs="TimesNewRoman" w:eastAsia="TimesNewRoman"/>
                <w:color w:val="000000"/>
              </w:rPr>
              <w:t xml:space="preserve">Предотвращение нарушений обязательных требований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NewRoman" w:hAnsi="TimesNewRoman" w:cs="TimesNewRoman" w:eastAsia="TimesNewRoman"/>
              </w:rPr>
            </w:pPr>
            <w:r>
              <w:rPr>
                <w:rFonts w:ascii="TimesNewRoman" w:hAnsi="TimesNewRoman" w:cs="TimesNewRoman" w:eastAsia="TimesNewRoman"/>
                <w:color w:val="000000"/>
              </w:rPr>
              <w:t xml:space="preserve">3-4  квартал 2023 года</w:t>
            </w:r>
            <w:r/>
          </w:p>
        </w:tc>
      </w:tr>
      <w:tr>
        <w:trPr>
          <w:trHeight w:val="577"/>
        </w:trPr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" w:type="dxa"/>
            <w:textDirection w:val="lrTb"/>
            <w:noWrap w:val="false"/>
          </w:tcPr>
          <w:p>
            <w:pPr>
              <w:jc w:val="center"/>
              <w:rPr>
                <w:rFonts w:ascii="TimesNewRoman" w:hAnsi="TimesNewRoman" w:cs="TimesNewRoman" w:eastAsia="TimesNewRoman"/>
              </w:rPr>
            </w:pPr>
            <w:r>
              <w:rPr>
                <w:rFonts w:ascii="TimesNewRoman" w:hAnsi="TimesNewRoman" w:cs="TimesNewRoman" w:eastAsia="TimesNewRoman"/>
                <w:color w:val="000000"/>
              </w:rPr>
              <w:t xml:space="preserve">5</w:t>
            </w:r>
            <w:r/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42" w:type="dxa"/>
            <w:textDirection w:val="lrTb"/>
            <w:noWrap w:val="false"/>
          </w:tcPr>
          <w:p>
            <w:pPr>
              <w:jc w:val="both"/>
              <w:rPr>
                <w:rFonts w:ascii="TimesNewRoman" w:hAnsi="TimesNewRoman" w:cs="TimesNewRoman" w:eastAsia="TimesNewRoman"/>
              </w:rPr>
            </w:pPr>
            <w:r>
              <w:rPr>
                <w:rFonts w:ascii="TimesNewRoman" w:hAnsi="TimesNewRoman" w:cs="TimesNewRoman" w:eastAsia="TimesNewRoman"/>
                <w:color w:val="000000"/>
              </w:rPr>
              <w:t xml:space="preserve">Разработка ежегодного Доклада о региональном государственном контроле (надзоре) на автомобильном транспорте, городском наземном электрическом транспорте и в дорожном хозяй</w:t>
            </w:r>
            <w:r>
              <w:rPr>
                <w:rFonts w:ascii="TimesNewRoman" w:hAnsi="TimesNewRoman" w:cs="TimesNewRoman" w:eastAsia="TimesNewRoman"/>
                <w:color w:val="000000"/>
              </w:rPr>
              <w:t xml:space="preserve">стве на территории Пензенской области в части сохранности автомобильных дорог регионального и межмуниципального значения.</w:t>
            </w:r>
            <w:r/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rPr>
                <w:rFonts w:ascii="TimesNewRoman" w:hAnsi="TimesNewRoman" w:cs="TimesNewRoman" w:eastAsia="TimesNewRoman"/>
              </w:rPr>
            </w:pPr>
            <w:r>
              <w:rPr>
                <w:rFonts w:ascii="TimesNewRoman" w:hAnsi="TimesNewRoman" w:cs="TimesNewRoman" w:eastAsia="TimesNewRoman"/>
                <w:color w:val="000000"/>
              </w:rPr>
              <w:t xml:space="preserve">Начальник и заместитель начальника Управления (инспекции) государственного строительного надзора, долевого строительства и сохранности</w:t>
            </w:r>
            <w:r>
              <w:rPr>
                <w:rFonts w:ascii="TimesNewRoman" w:hAnsi="TimesNewRoman" w:cs="TimesNewRoman" w:eastAsia="TimesNewRoman"/>
                <w:color w:val="000000"/>
              </w:rPr>
              <w:t xml:space="preserve"> автомобильных дорог</w:t>
            </w:r>
            <w:r/>
          </w:p>
          <w:p>
            <w:pPr>
              <w:rPr>
                <w:rFonts w:ascii="TimesNewRoman" w:hAnsi="TimesNewRoman" w:cs="TimesNewRoman" w:eastAsia="TimesNewRoman"/>
              </w:rPr>
            </w:pPr>
            <w:r>
              <w:rPr>
                <w:rFonts w:ascii="TimesNewRoman" w:hAnsi="TimesNewRoman" w:cs="TimesNewRoman" w:eastAsia="TimesNewRoman"/>
              </w:rPr>
            </w:r>
            <w:r/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center"/>
              <w:rPr>
                <w:rFonts w:ascii="TimesNewRoman" w:hAnsi="TimesNewRoman" w:cs="TimesNewRoman" w:eastAsia="TimesNewRoman"/>
              </w:rPr>
            </w:pPr>
            <w:r>
              <w:rPr>
                <w:rFonts w:ascii="TimesNewRoman" w:hAnsi="TimesNewRoman" w:cs="TimesNewRoman" w:eastAsia="TimesNewRoman"/>
                <w:color w:val="000000"/>
              </w:rPr>
              <w:t xml:space="preserve">Повышение прозрачности надзорного органа</w:t>
            </w:r>
            <w:r/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NewRoman" w:hAnsi="TimesNewRoman" w:cs="TimesNewRoman" w:eastAsia="TimesNewRoman"/>
              </w:rPr>
            </w:pPr>
            <w:r>
              <w:rPr>
                <w:rFonts w:ascii="TimesNewRoman" w:hAnsi="TimesNewRoman" w:cs="TimesNewRoman" w:eastAsia="TimesNewRoman"/>
                <w:color w:val="000000"/>
              </w:rPr>
              <w:t xml:space="preserve">с 10.01.2023 </w:t>
            </w:r>
            <w:r/>
          </w:p>
          <w:p>
            <w:pPr>
              <w:jc w:val="center"/>
              <w:rPr>
                <w:rFonts w:ascii="TimesNewRoman" w:hAnsi="TimesNewRoman" w:cs="TimesNewRoman" w:eastAsia="TimesNewRoman"/>
              </w:rPr>
            </w:pPr>
            <w:r>
              <w:rPr>
                <w:rFonts w:ascii="TimesNewRoman" w:hAnsi="TimesNewRoman" w:cs="TimesNewRoman" w:eastAsia="TimesNewRoman"/>
                <w:color w:val="000000"/>
              </w:rPr>
              <w:t xml:space="preserve">по 04.03. 2023 </w:t>
            </w:r>
            <w:r/>
          </w:p>
        </w:tc>
      </w:tr>
      <w:tr>
        <w:trPr>
          <w:trHeight w:val="2885"/>
        </w:trPr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" w:type="dxa"/>
            <w:textDirection w:val="lrTb"/>
            <w:noWrap w:val="false"/>
          </w:tcPr>
          <w:p>
            <w:pPr>
              <w:jc w:val="center"/>
              <w:rPr>
                <w:rFonts w:ascii="TimesNewRoman" w:hAnsi="TimesNewRoman" w:cs="TimesNewRoman" w:eastAsia="TimesNewRoman"/>
              </w:rPr>
            </w:pPr>
            <w:r>
              <w:rPr>
                <w:rFonts w:ascii="TimesNewRoman" w:hAnsi="TimesNewRoman" w:cs="TimesNewRoman" w:eastAsia="TimesNewRoman"/>
                <w:color w:val="000000"/>
              </w:rPr>
              <w:t xml:space="preserve">6</w:t>
            </w:r>
            <w:r/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42" w:type="dxa"/>
            <w:textDirection w:val="lrTb"/>
            <w:noWrap w:val="false"/>
          </w:tcPr>
          <w:p>
            <w:pPr>
              <w:jc w:val="both"/>
              <w:rPr>
                <w:rFonts w:ascii="TimesNewRoman" w:hAnsi="TimesNewRoman" w:cs="TimesNewRoman" w:eastAsia="TimesNewRoman"/>
              </w:rPr>
            </w:pPr>
            <w:r>
              <w:rPr>
                <w:rFonts w:ascii="TimesNewRoman" w:hAnsi="TimesNewRoman" w:cs="TimesNewRoman" w:eastAsia="TimesNewRoman"/>
                <w:color w:val="000000"/>
              </w:rPr>
              <w:t xml:space="preserve">Разработка проекта ежегодного Доклада по обобщению правоприменительной практики</w:t>
            </w:r>
            <w:r/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rPr>
                <w:rFonts w:ascii="TimesNewRoman" w:hAnsi="TimesNewRoman" w:cs="TimesNewRoman" w:eastAsia="TimesNewRoman"/>
              </w:rPr>
            </w:pPr>
            <w:r>
              <w:rPr>
                <w:rFonts w:ascii="TimesNewRoman" w:hAnsi="TimesNewRoman" w:cs="TimesNewRoman" w:eastAsia="TimesNewRoman"/>
                <w:color w:val="000000"/>
              </w:rPr>
              <w:t xml:space="preserve">Начальник и заместитель начальника Управления (инспекции) государственного строительного надзора, долевого строительства и сохранности автомобильных дорог</w:t>
            </w:r>
            <w:r/>
          </w:p>
          <w:p>
            <w:pPr>
              <w:rPr>
                <w:rFonts w:ascii="TimesNewRoman" w:hAnsi="TimesNewRoman" w:cs="TimesNewRoman" w:eastAsia="TimesNewRoman"/>
              </w:rPr>
            </w:pPr>
            <w:r>
              <w:rPr>
                <w:rFonts w:ascii="TimesNewRoman" w:hAnsi="TimesNewRoman" w:cs="TimesNewRoman" w:eastAsia="TimesNewRoman"/>
              </w:rPr>
            </w:r>
            <w:r/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center"/>
              <w:rPr>
                <w:rFonts w:ascii="TimesNewRoman" w:hAnsi="TimesNewRoman" w:cs="TimesNewRoman" w:eastAsia="TimesNewRoman"/>
              </w:rPr>
            </w:pPr>
            <w:r>
              <w:rPr>
                <w:rFonts w:ascii="TimesNewRoman" w:hAnsi="TimesNewRoman" w:cs="TimesNewRoman" w:eastAsia="TimesNewRoman"/>
                <w:color w:val="000000"/>
              </w:rPr>
              <w:t xml:space="preserve">Повышение информированности контролируемых лиц</w:t>
            </w:r>
            <w:r/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NewRoman" w:hAnsi="TimesNewRoman" w:cs="TimesNewRoman" w:eastAsia="TimesNewRoman"/>
              </w:rPr>
            </w:pPr>
            <w:r>
              <w:rPr>
                <w:rFonts w:ascii="TimesNewRoman" w:hAnsi="TimesNewRoman" w:cs="TimesNewRoman" w:eastAsia="TimesNewRoman"/>
                <w:color w:val="000000"/>
              </w:rPr>
              <w:t xml:space="preserve">с 10.01.2023</w:t>
            </w:r>
            <w:r/>
          </w:p>
          <w:p>
            <w:pPr>
              <w:jc w:val="center"/>
              <w:rPr>
                <w:rFonts w:ascii="TimesNewRoman" w:hAnsi="TimesNewRoman" w:cs="TimesNewRoman" w:eastAsia="TimesNewRoman"/>
              </w:rPr>
            </w:pPr>
            <w:r>
              <w:rPr>
                <w:rFonts w:ascii="TimesNewRoman" w:hAnsi="TimesNewRoman" w:cs="TimesNewRoman" w:eastAsia="TimesNewRoman"/>
                <w:color w:val="000000"/>
              </w:rPr>
              <w:t xml:space="preserve"> по 01.02.2023</w:t>
            </w:r>
            <w:r/>
          </w:p>
        </w:tc>
      </w:tr>
      <w:tr>
        <w:trPr>
          <w:trHeight w:val="577"/>
        </w:trPr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" w:type="dxa"/>
            <w:textDirection w:val="lrTb"/>
            <w:noWrap w:val="false"/>
          </w:tcPr>
          <w:p>
            <w:pPr>
              <w:jc w:val="center"/>
              <w:rPr>
                <w:rFonts w:ascii="TimesNewRoman" w:hAnsi="TimesNewRoman" w:cs="TimesNewRoman" w:eastAsia="TimesNewRoman"/>
              </w:rPr>
            </w:pPr>
            <w:r>
              <w:rPr>
                <w:rFonts w:ascii="TimesNewRoman" w:hAnsi="TimesNewRoman" w:cs="TimesNewRoman" w:eastAsia="TimesNewRoman"/>
                <w:color w:val="000000"/>
              </w:rPr>
              <w:t xml:space="preserve">7</w:t>
            </w:r>
            <w:r/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42" w:type="dxa"/>
            <w:textDirection w:val="lrTb"/>
            <w:noWrap w:val="false"/>
          </w:tcPr>
          <w:p>
            <w:pPr>
              <w:jc w:val="both"/>
              <w:rPr>
                <w:rFonts w:ascii="TimesNewRoman" w:hAnsi="TimesNewRoman" w:cs="TimesNewRoman" w:eastAsia="TimesNewRoman"/>
              </w:rPr>
            </w:pPr>
            <w:r>
              <w:rPr>
                <w:rFonts w:ascii="TimesNewRoman" w:hAnsi="TimesNewRoman" w:cs="TimesNewRoman" w:eastAsia="TimesNewRoman"/>
                <w:color w:val="000000"/>
              </w:rPr>
              <w:t xml:space="preserve">Подготовка отчета об исполнении программы профилактики</w:t>
            </w:r>
            <w:r/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rPr>
                <w:rFonts w:ascii="TimesNewRoman" w:hAnsi="TimesNewRoman" w:cs="TimesNewRoman" w:eastAsia="TimesNewRoman"/>
              </w:rPr>
            </w:pPr>
            <w:r>
              <w:rPr>
                <w:rFonts w:ascii="TimesNewRoman" w:hAnsi="TimesNewRoman" w:cs="TimesNewRoman" w:eastAsia="TimesNewRoman"/>
                <w:color w:val="000000"/>
              </w:rPr>
              <w:t xml:space="preserve">Начальник и заместитель начальника Управления (инспекции) государственного строительного надзора, долевого строительства и сохранности автомобильных дорог</w:t>
            </w:r>
            <w:r/>
          </w:p>
          <w:p>
            <w:pPr>
              <w:rPr>
                <w:rFonts w:ascii="TimesNewRoman" w:hAnsi="TimesNewRoman" w:cs="TimesNewRoman" w:eastAsia="TimesNewRoman"/>
              </w:rPr>
            </w:pPr>
            <w:r>
              <w:rPr>
                <w:rFonts w:ascii="TimesNewRoman" w:hAnsi="TimesNewRoman" w:cs="TimesNewRoman" w:eastAsia="TimesNewRoman"/>
              </w:rPr>
            </w:r>
            <w:r/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center"/>
              <w:rPr>
                <w:rFonts w:ascii="TimesNewRoman" w:hAnsi="TimesNewRoman" w:cs="TimesNewRoman" w:eastAsia="TimesNewRoman"/>
              </w:rPr>
            </w:pPr>
            <w:r>
              <w:rPr>
                <w:rFonts w:ascii="TimesNewRoman" w:hAnsi="TimesNewRoman" w:cs="TimesNewRoman" w:eastAsia="TimesNewRoman"/>
                <w:color w:val="000000"/>
              </w:rPr>
              <w:t xml:space="preserve">Повышение информированности контролируемых ли</w:t>
            </w:r>
            <w:r>
              <w:rPr>
                <w:rFonts w:ascii="TimesNewRoman" w:hAnsi="TimesNewRoman" w:cs="TimesNewRoman" w:eastAsia="TimesNewRoman"/>
                <w:color w:val="000000"/>
              </w:rPr>
              <w:t xml:space="preserve">ц</w:t>
            </w:r>
            <w:r/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NewRoman" w:hAnsi="TimesNewRoman" w:cs="TimesNewRoman" w:eastAsia="TimesNewRoman"/>
              </w:rPr>
            </w:pPr>
            <w:r>
              <w:rPr>
                <w:rFonts w:ascii="TimesNewRoman" w:hAnsi="TimesNewRoman" w:cs="TimesNewRoman" w:eastAsia="TimesNewRoman"/>
                <w:color w:val="000000"/>
              </w:rPr>
              <w:t xml:space="preserve">до 14.02.2023</w:t>
            </w:r>
            <w:r/>
          </w:p>
        </w:tc>
      </w:tr>
      <w:tr>
        <w:trPr>
          <w:trHeight w:val="577"/>
        </w:trPr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" w:type="dxa"/>
            <w:textDirection w:val="lrTb"/>
            <w:noWrap w:val="false"/>
          </w:tcPr>
          <w:p>
            <w:pPr>
              <w:jc w:val="center"/>
              <w:rPr>
                <w:rFonts w:ascii="TimesNewRoman" w:hAnsi="TimesNewRoman" w:cs="TimesNewRoman" w:eastAsia="TimesNewRoman"/>
              </w:rPr>
            </w:pPr>
            <w:r>
              <w:rPr>
                <w:rFonts w:ascii="TimesNewRoman" w:hAnsi="TimesNewRoman" w:cs="TimesNewRoman" w:eastAsia="TimesNewRoman"/>
                <w:color w:val="000000"/>
              </w:rPr>
              <w:t xml:space="preserve">8</w:t>
            </w:r>
            <w:r/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42" w:type="dxa"/>
            <w:textDirection w:val="lrTb"/>
            <w:noWrap w:val="false"/>
          </w:tcPr>
          <w:p>
            <w:pPr>
              <w:jc w:val="both"/>
              <w:rPr>
                <w:rFonts w:ascii="TimesNewRoman" w:hAnsi="TimesNewRoman" w:cs="TimesNewRoman" w:eastAsia="TimesNewRoman"/>
              </w:rPr>
            </w:pPr>
            <w:r>
              <w:rPr>
                <w:rFonts w:ascii="TimesNewRoman" w:hAnsi="TimesNewRoman" w:cs="TimesNewRoman" w:eastAsia="TimesNewRoman"/>
                <w:color w:val="000000"/>
              </w:rPr>
              <w:t xml:space="preserve">Обеспечение общественного обсуждения проекта Доклада по обобщению правоприменительной практики</w:t>
            </w:r>
            <w:r/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rPr>
                <w:rFonts w:ascii="TimesNewRoman" w:hAnsi="TimesNewRoman" w:cs="TimesNewRoman" w:eastAsia="TimesNewRoman"/>
              </w:rPr>
            </w:pPr>
            <w:r>
              <w:rPr>
                <w:rFonts w:ascii="TimesNewRoman" w:hAnsi="TimesNewRoman" w:cs="TimesNewRoman" w:eastAsia="TimesNewRoman"/>
                <w:color w:val="000000"/>
              </w:rPr>
              <w:t xml:space="preserve">Начальник и заместитель начальника Управления (инспекции) государственного строительного надзора, долевого строительства и сохранности автомоб</w:t>
            </w:r>
            <w:r>
              <w:rPr>
                <w:rFonts w:ascii="TimesNewRoman" w:hAnsi="TimesNewRoman" w:cs="TimesNewRoman" w:eastAsia="TimesNewRoman"/>
                <w:color w:val="000000"/>
              </w:rPr>
              <w:t xml:space="preserve">ильных дорог</w:t>
            </w:r>
            <w:r/>
          </w:p>
          <w:p>
            <w:pPr>
              <w:rPr>
                <w:rFonts w:ascii="TimesNewRoman" w:hAnsi="TimesNewRoman" w:cs="TimesNewRoman" w:eastAsia="TimesNewRoman"/>
              </w:rPr>
            </w:pPr>
            <w:r>
              <w:rPr>
                <w:rFonts w:ascii="TimesNewRoman" w:hAnsi="TimesNewRoman" w:cs="TimesNewRoman" w:eastAsia="TimesNewRoman"/>
              </w:rPr>
            </w:r>
            <w:r/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center"/>
              <w:rPr>
                <w:rFonts w:ascii="TimesNewRoman" w:hAnsi="TimesNewRoman" w:cs="TimesNewRoman" w:eastAsia="TimesNewRoman"/>
              </w:rPr>
            </w:pPr>
            <w:r>
              <w:rPr>
                <w:rFonts w:ascii="TimesNewRoman" w:hAnsi="TimesNewRoman" w:cs="TimesNewRoman" w:eastAsia="TimesNewRoman"/>
                <w:color w:val="000000"/>
              </w:rPr>
              <w:t xml:space="preserve">Повышение информированности контролируемых лиц</w:t>
            </w:r>
            <w:r/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NewRoman" w:hAnsi="TimesNewRoman" w:cs="TimesNewRoman" w:eastAsia="TimesNewRoman"/>
              </w:rPr>
            </w:pPr>
            <w:r>
              <w:rPr>
                <w:rFonts w:ascii="TimesNewRoman" w:hAnsi="TimesNewRoman" w:cs="TimesNewRoman" w:eastAsia="TimesNewRoman"/>
                <w:color w:val="000000"/>
              </w:rPr>
              <w:t xml:space="preserve">с 01.02.2023</w:t>
            </w:r>
            <w:r/>
          </w:p>
          <w:p>
            <w:pPr>
              <w:jc w:val="center"/>
              <w:rPr>
                <w:rFonts w:ascii="TimesNewRoman" w:hAnsi="TimesNewRoman" w:cs="TimesNewRoman" w:eastAsia="TimesNewRoman"/>
              </w:rPr>
            </w:pPr>
            <w:r>
              <w:rPr>
                <w:rFonts w:ascii="TimesNewRoman" w:hAnsi="TimesNewRoman" w:cs="TimesNewRoman" w:eastAsia="TimesNewRoman"/>
                <w:color w:val="000000"/>
              </w:rPr>
              <w:t xml:space="preserve">по 28.02.2023</w:t>
            </w:r>
            <w:r/>
          </w:p>
        </w:tc>
      </w:tr>
      <w:tr>
        <w:trPr>
          <w:trHeight w:val="577"/>
        </w:trPr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" w:type="dxa"/>
            <w:textDirection w:val="lrTb"/>
            <w:noWrap w:val="false"/>
          </w:tcPr>
          <w:p>
            <w:pPr>
              <w:jc w:val="center"/>
              <w:rPr>
                <w:rFonts w:ascii="TimesNewRoman" w:hAnsi="TimesNewRoman" w:cs="TimesNewRoman" w:eastAsia="TimesNewRoman"/>
              </w:rPr>
            </w:pPr>
            <w:r>
              <w:rPr>
                <w:rFonts w:ascii="TimesNewRoman" w:hAnsi="TimesNewRoman" w:cs="TimesNewRoman" w:eastAsia="TimesNewRoman"/>
                <w:color w:val="000000"/>
              </w:rPr>
              <w:t xml:space="preserve">9</w:t>
            </w:r>
            <w:r/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42" w:type="dxa"/>
            <w:textDirection w:val="lrTb"/>
            <w:noWrap w:val="false"/>
          </w:tcPr>
          <w:p>
            <w:pPr>
              <w:jc w:val="both"/>
              <w:rPr>
                <w:rFonts w:ascii="TimesNewRoman" w:hAnsi="TimesNewRoman" w:cs="TimesNewRoman" w:eastAsia="TimesNewRoman"/>
              </w:rPr>
            </w:pPr>
            <w:r>
              <w:rPr>
                <w:rFonts w:ascii="TimesNewRoman" w:hAnsi="TimesNewRoman" w:cs="TimesNewRoman" w:eastAsia="TimesNewRoman"/>
                <w:color w:val="000000"/>
              </w:rPr>
              <w:t xml:space="preserve">Утверждение и размещение Доклада о региональном государственном контроле (надзоре) </w:t>
            </w:r>
            <w:r>
              <w:rPr>
                <w:rFonts w:ascii="TimesNewRoman" w:hAnsi="TimesNewRoman" w:cs="TimesNewRoman" w:eastAsia="TimesNewRoman"/>
                <w:color w:val="000000"/>
              </w:rPr>
              <w:t xml:space="preserve">на автомобильном транспорте, городском наземном электрическом транспорте и в дорожном хозяйстве на территории Пензенской области в части сохранности автомобильных дорог регионального и межмуниципального значения в электронной форме посредством государствен</w:t>
            </w:r>
            <w:r>
              <w:rPr>
                <w:rFonts w:ascii="TimesNewRoman" w:hAnsi="TimesNewRoman" w:cs="TimesNewRoman" w:eastAsia="TimesNewRoman"/>
                <w:color w:val="000000"/>
              </w:rPr>
              <w:t xml:space="preserve">ной автоматизированной информационной систему «Управление». </w:t>
            </w:r>
            <w:r/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rPr>
                <w:rFonts w:ascii="TimesNewRoman" w:hAnsi="TimesNewRoman" w:cs="TimesNewRoman" w:eastAsia="TimesNewRoman"/>
              </w:rPr>
            </w:pPr>
            <w:r>
              <w:rPr>
                <w:rFonts w:ascii="TimesNewRoman" w:hAnsi="TimesNewRoman" w:cs="TimesNewRoman" w:eastAsia="TimesNewRoman"/>
                <w:color w:val="000000"/>
              </w:rPr>
              <w:t xml:space="preserve">Начальник и заместитель начальника Управления (инспекции) государственного строительного надзора, долевого строительства и сохранности автомобильных дорог</w:t>
            </w:r>
            <w:r/>
          </w:p>
          <w:p>
            <w:pPr>
              <w:rPr>
                <w:rFonts w:ascii="TimesNewRoman" w:hAnsi="TimesNewRoman" w:cs="TimesNewRoman" w:eastAsia="TimesNewRoman"/>
              </w:rPr>
            </w:pPr>
            <w:r>
              <w:rPr>
                <w:rFonts w:ascii="TimesNewRoman" w:hAnsi="TimesNewRoman" w:cs="TimesNewRoman" w:eastAsia="TimesNewRoman"/>
              </w:rPr>
            </w:r>
            <w:r/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center"/>
              <w:rPr>
                <w:rFonts w:ascii="TimesNewRoman" w:hAnsi="TimesNewRoman" w:cs="TimesNewRoman" w:eastAsia="TimesNewRoman"/>
              </w:rPr>
            </w:pPr>
            <w:r>
              <w:rPr>
                <w:rFonts w:ascii="TimesNewRoman" w:hAnsi="TimesNewRoman" w:cs="TimesNewRoman" w:eastAsia="TimesNewRoman"/>
                <w:color w:val="000000"/>
              </w:rPr>
              <w:t xml:space="preserve">Повышение прозрачности надзорного орган</w:t>
            </w:r>
            <w:r>
              <w:rPr>
                <w:rFonts w:ascii="TimesNewRoman" w:hAnsi="TimesNewRoman" w:cs="TimesNewRoman" w:eastAsia="TimesNewRoman"/>
                <w:color w:val="000000"/>
              </w:rPr>
              <w:t xml:space="preserve">а</w:t>
            </w:r>
            <w:r/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NewRoman" w:hAnsi="TimesNewRoman" w:cs="TimesNewRoman" w:eastAsia="TimesNewRoman"/>
              </w:rPr>
            </w:pPr>
            <w:r>
              <w:rPr>
                <w:rFonts w:ascii="TimesNewRoman" w:hAnsi="TimesNewRoman" w:cs="TimesNewRoman" w:eastAsia="TimesNewRoman"/>
                <w:color w:val="000000"/>
              </w:rPr>
              <w:t xml:space="preserve">до 15.03.2023</w:t>
            </w:r>
            <w:r/>
          </w:p>
        </w:tc>
      </w:tr>
      <w:tr>
        <w:trPr>
          <w:trHeight w:val="284"/>
        </w:trPr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" w:type="dxa"/>
            <w:textDirection w:val="lrTb"/>
            <w:noWrap w:val="false"/>
          </w:tcPr>
          <w:p>
            <w:pPr>
              <w:jc w:val="center"/>
              <w:rPr>
                <w:rFonts w:ascii="TimesNewRoman" w:hAnsi="TimesNewRoman" w:cs="TimesNewRoman" w:eastAsia="TimesNewRoman"/>
              </w:rPr>
            </w:pPr>
            <w:r>
              <w:rPr>
                <w:rFonts w:ascii="TimesNewRoman" w:hAnsi="TimesNewRoman" w:cs="TimesNewRoman" w:eastAsia="TimesNewRoman"/>
                <w:color w:val="000000"/>
              </w:rPr>
              <w:t xml:space="preserve">10</w:t>
            </w:r>
            <w:r/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42" w:type="dxa"/>
            <w:textDirection w:val="lrTb"/>
            <w:noWrap w:val="false"/>
          </w:tcPr>
          <w:p>
            <w:pPr>
              <w:jc w:val="both"/>
              <w:rPr>
                <w:rFonts w:ascii="TimesNewRoman" w:hAnsi="TimesNewRoman" w:cs="TimesNewRoman" w:eastAsia="TimesNewRoman"/>
              </w:rPr>
            </w:pPr>
            <w:r>
              <w:rPr>
                <w:rFonts w:ascii="TimesNewRoman" w:hAnsi="TimesNewRoman" w:cs="TimesNewRoman" w:eastAsia="TimesNewRoman"/>
                <w:color w:val="000000"/>
              </w:rPr>
              <w:t xml:space="preserve">Утверждение и размещение Доклада по обобщению правоприменительной практики</w:t>
            </w:r>
            <w:r/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rPr>
                <w:rFonts w:ascii="TimesNewRoman" w:hAnsi="TimesNewRoman" w:cs="TimesNewRoman" w:eastAsia="TimesNewRoman"/>
              </w:rPr>
            </w:pPr>
            <w:r>
              <w:rPr>
                <w:rFonts w:ascii="TimesNewRoman" w:hAnsi="TimesNewRoman" w:cs="TimesNewRoman" w:eastAsia="TimesNewRoman"/>
                <w:color w:val="000000"/>
              </w:rPr>
              <w:t xml:space="preserve">Начальник и заместитель начальника Управления (инспекции) государственного строительного надзора, долевого строительства и сохранности автомобильных дорог</w:t>
            </w:r>
            <w:r/>
          </w:p>
          <w:p>
            <w:pPr>
              <w:rPr>
                <w:rFonts w:ascii="TimesNewRoman" w:hAnsi="TimesNewRoman" w:cs="TimesNewRoman" w:eastAsia="TimesNewRoman"/>
              </w:rPr>
            </w:pPr>
            <w:r>
              <w:rPr>
                <w:rFonts w:ascii="TimesNewRoman" w:hAnsi="TimesNewRoman" w:cs="TimesNewRoman" w:eastAsia="TimesNewRoman"/>
              </w:rPr>
            </w:r>
            <w:r/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center"/>
              <w:rPr>
                <w:rFonts w:ascii="TimesNewRoman" w:hAnsi="TimesNewRoman" w:cs="TimesNewRoman" w:eastAsia="TimesNewRoman"/>
              </w:rPr>
            </w:pPr>
            <w:r>
              <w:rPr>
                <w:rFonts w:ascii="TimesNewRoman" w:hAnsi="TimesNewRoman" w:cs="TimesNewRoman" w:eastAsia="TimesNewRoman"/>
                <w:color w:val="000000"/>
              </w:rPr>
              <w:t xml:space="preserve">Повышение информированности контролируемых лиц</w:t>
            </w:r>
            <w:r/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NewRoman" w:hAnsi="TimesNewRoman" w:cs="TimesNewRoman" w:eastAsia="TimesNewRoman"/>
              </w:rPr>
            </w:pPr>
            <w:r>
              <w:rPr>
                <w:rFonts w:ascii="TimesNewRoman" w:hAnsi="TimesNewRoman" w:cs="TimesNewRoman" w:eastAsia="TimesNewRoman"/>
                <w:color w:val="000000"/>
              </w:rPr>
              <w:t xml:space="preserve">до 15.03.2023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" w:type="dxa"/>
            <w:textDirection w:val="lrTb"/>
            <w:noWrap w:val="false"/>
          </w:tcPr>
          <w:p>
            <w:pPr>
              <w:jc w:val="center"/>
              <w:rPr>
                <w:rFonts w:ascii="TimesNewRoman" w:hAnsi="TimesNewRoman" w:cs="TimesNewRoman" w:eastAsia="TimesNewRoman"/>
              </w:rPr>
            </w:pPr>
            <w:r>
              <w:rPr>
                <w:rFonts w:ascii="TimesNewRoman" w:hAnsi="TimesNewRoman" w:cs="TimesNewRoman" w:eastAsia="TimesNewRoman"/>
                <w:color w:val="000000"/>
              </w:rPr>
              <w:t xml:space="preserve">11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42" w:type="dxa"/>
            <w:textDirection w:val="lrTb"/>
            <w:noWrap w:val="false"/>
          </w:tcPr>
          <w:p>
            <w:pPr>
              <w:jc w:val="both"/>
              <w:rPr>
                <w:rFonts w:ascii="TimesNewRoman" w:hAnsi="TimesNewRoman" w:cs="TimesNewRoman" w:eastAsia="TimesNewRoman"/>
              </w:rPr>
            </w:pPr>
            <w:r>
              <w:rPr>
                <w:rFonts w:ascii="TimesNewRoman" w:hAnsi="TimesNewRoman" w:cs="TimesNewRoman" w:eastAsia="TimesNewRoman"/>
                <w:color w:val="000000"/>
              </w:rPr>
              <w:t xml:space="preserve">Разработка проекта Программы профилактики рисков причинения вреда </w:t>
            </w:r>
            <w:r>
              <w:rPr>
                <w:rFonts w:ascii="TimesNewRoman" w:hAnsi="TimesNewRoman" w:cs="TimesNewRoman" w:eastAsia="TimesNewRoman"/>
                <w:color w:val="000000"/>
              </w:rPr>
              <w:t xml:space="preserve">(ущерба) охраняемым законом ценностям в рамках осуществления Министерством строительства и дорожного хозяйства Пензенской области (далее - Министерство) регионального государственного контроля (надзора) на автомобильном транспорте, городском наземном элект</w:t>
            </w:r>
            <w:r>
              <w:rPr>
                <w:rFonts w:ascii="TimesNewRoman" w:hAnsi="TimesNewRoman" w:cs="TimesNewRoman" w:eastAsia="TimesNewRoman"/>
                <w:color w:val="000000"/>
              </w:rPr>
              <w:t xml:space="preserve">рическом транспорте и в дорожном хозяйстве на территории Пензенской области в части сохранности автомобильных дорог регионального и межмуниципального значения на 2024 (далее – Программ профилактики)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rPr>
                <w:rFonts w:ascii="TimesNewRoman" w:hAnsi="TimesNewRoman" w:cs="TimesNewRoman" w:eastAsia="TimesNewRoman"/>
              </w:rPr>
            </w:pPr>
            <w:r>
              <w:rPr>
                <w:rFonts w:ascii="TimesNewRoman" w:hAnsi="TimesNewRoman" w:cs="TimesNewRoman" w:eastAsia="TimesNewRoman"/>
                <w:color w:val="000000"/>
              </w:rPr>
              <w:t xml:space="preserve">Начальник и заместитель начальника Управления (инспекции</w:t>
            </w:r>
            <w:r>
              <w:rPr>
                <w:rFonts w:ascii="TimesNewRoman" w:hAnsi="TimesNewRoman" w:cs="TimesNewRoman" w:eastAsia="TimesNewRoman"/>
                <w:color w:val="000000"/>
              </w:rPr>
              <w:t xml:space="preserve">) государственного строительного надзора, долевого строительства и сохранности автомобильных дорог</w:t>
            </w:r>
            <w:r/>
          </w:p>
          <w:p>
            <w:pPr>
              <w:rPr>
                <w:rFonts w:ascii="TimesNewRoman" w:hAnsi="TimesNewRoman" w:cs="TimesNewRoman" w:eastAsia="TimesNewRoman"/>
              </w:rPr>
            </w:pPr>
            <w:r>
              <w:rPr>
                <w:rFonts w:ascii="TimesNewRoman" w:hAnsi="TimesNewRoman" w:cs="TimesNewRoman" w:eastAsia="TimesNew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NewRoman" w:hAnsi="TimesNewRoman" w:cs="TimesNewRoman" w:eastAsia="TimesNewRoman"/>
              </w:rPr>
            </w:pPr>
            <w:r>
              <w:rPr>
                <w:rFonts w:ascii="TimesNewRoman" w:hAnsi="TimesNewRoman" w:cs="TimesNewRoman" w:eastAsia="TimesNewRoman"/>
                <w:color w:val="000000"/>
              </w:rPr>
              <w:t xml:space="preserve">Открытость органа государственного надзора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NewRoman" w:hAnsi="TimesNewRoman" w:cs="TimesNewRoman" w:eastAsia="TimesNewRoman"/>
              </w:rPr>
            </w:pPr>
            <w:r>
              <w:rPr>
                <w:rFonts w:ascii="TimesNewRoman" w:hAnsi="TimesNewRoman" w:cs="TimesNewRoman" w:eastAsia="TimesNewRoman"/>
                <w:color w:val="000000"/>
              </w:rPr>
              <w:t xml:space="preserve">до</w:t>
            </w:r>
            <w:r/>
          </w:p>
          <w:p>
            <w:pPr>
              <w:jc w:val="center"/>
              <w:rPr>
                <w:rFonts w:ascii="TimesNewRoman" w:hAnsi="TimesNewRoman" w:cs="TimesNewRoman" w:eastAsia="TimesNewRoman"/>
              </w:rPr>
            </w:pPr>
            <w:r>
              <w:rPr>
                <w:rFonts w:ascii="TimesNewRoman" w:hAnsi="TimesNewRoman" w:cs="TimesNewRoman" w:eastAsia="TimesNewRoman"/>
                <w:color w:val="000000"/>
              </w:rPr>
              <w:t xml:space="preserve">30.09.2023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" w:type="dxa"/>
            <w:textDirection w:val="lrTb"/>
            <w:noWrap w:val="false"/>
          </w:tcPr>
          <w:p>
            <w:pPr>
              <w:jc w:val="center"/>
              <w:rPr>
                <w:rFonts w:ascii="TimesNewRoman" w:hAnsi="TimesNewRoman" w:cs="TimesNewRoman" w:eastAsia="TimesNewRoman"/>
              </w:rPr>
            </w:pPr>
            <w:r>
              <w:rPr>
                <w:rFonts w:ascii="TimesNewRoman" w:hAnsi="TimesNewRoman" w:cs="TimesNewRoman" w:eastAsia="TimesNewRoman"/>
                <w:color w:val="000000"/>
              </w:rPr>
              <w:t xml:space="preserve">12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42" w:type="dxa"/>
            <w:textDirection w:val="lrTb"/>
            <w:noWrap w:val="false"/>
          </w:tcPr>
          <w:p>
            <w:pPr>
              <w:jc w:val="both"/>
              <w:rPr>
                <w:rFonts w:ascii="TimesNewRoman" w:hAnsi="TimesNewRoman" w:cs="TimesNewRoman" w:eastAsia="TimesNewRoman"/>
              </w:rPr>
            </w:pPr>
            <w:r>
              <w:rPr>
                <w:rFonts w:ascii="TimesNewRoman" w:hAnsi="TimesNewRoman" w:cs="TimesNewRoman" w:eastAsia="TimesNewRoman"/>
                <w:color w:val="000000"/>
              </w:rPr>
              <w:t xml:space="preserve">Обеспечение общественного обсуждения проекта Программы профилактики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rPr>
                <w:rFonts w:ascii="TimesNewRoman" w:hAnsi="TimesNewRoman" w:cs="TimesNewRoman" w:eastAsia="TimesNewRoman"/>
              </w:rPr>
            </w:pPr>
            <w:r>
              <w:rPr>
                <w:rFonts w:ascii="TimesNewRoman" w:hAnsi="TimesNewRoman" w:cs="TimesNewRoman" w:eastAsia="TimesNewRoman"/>
                <w:color w:val="000000"/>
              </w:rPr>
              <w:t xml:space="preserve">Начальник и заместитель начальника Управления (инспекции) государственного строительного надзора, долевого строительства и сохранности автомобильных дорог</w:t>
            </w:r>
            <w:r/>
          </w:p>
          <w:p>
            <w:pPr>
              <w:rPr>
                <w:rFonts w:ascii="TimesNewRoman" w:hAnsi="TimesNewRoman" w:cs="TimesNewRoman" w:eastAsia="TimesNewRoman"/>
              </w:rPr>
            </w:pPr>
            <w:r>
              <w:rPr>
                <w:rFonts w:ascii="TimesNewRoman" w:hAnsi="TimesNewRoman" w:cs="TimesNewRoman" w:eastAsia="TimesNew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NewRoman" w:hAnsi="TimesNewRoman" w:cs="TimesNewRoman" w:eastAsia="TimesNewRoman"/>
              </w:rPr>
            </w:pPr>
            <w:r>
              <w:rPr>
                <w:rFonts w:ascii="TimesNewRoman" w:hAnsi="TimesNewRoman" w:cs="TimesNewRoman" w:eastAsia="TimesNew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NewRoman" w:hAnsi="TimesNewRoman" w:cs="TimesNewRoman" w:eastAsia="TimesNewRoman"/>
              </w:rPr>
            </w:pPr>
            <w:r>
              <w:rPr>
                <w:rFonts w:ascii="TimesNewRoman" w:hAnsi="TimesNewRoman" w:cs="TimesNewRoman" w:eastAsia="TimesNewRoman"/>
                <w:color w:val="000000"/>
              </w:rPr>
              <w:t xml:space="preserve">с 01.10.2023</w:t>
            </w:r>
            <w:r/>
          </w:p>
          <w:p>
            <w:pPr>
              <w:jc w:val="center"/>
              <w:rPr>
                <w:rFonts w:ascii="TimesNewRoman" w:hAnsi="TimesNewRoman" w:cs="TimesNewRoman" w:eastAsia="TimesNewRoman"/>
              </w:rPr>
            </w:pPr>
            <w:r>
              <w:rPr>
                <w:rFonts w:ascii="TimesNewRoman" w:hAnsi="TimesNewRoman" w:cs="TimesNewRoman" w:eastAsia="TimesNewRoman"/>
                <w:color w:val="000000"/>
              </w:rPr>
              <w:t xml:space="preserve">по 31.10.2023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" w:type="dxa"/>
            <w:textDirection w:val="lrTb"/>
            <w:noWrap w:val="false"/>
          </w:tcPr>
          <w:p>
            <w:pPr>
              <w:jc w:val="center"/>
              <w:rPr>
                <w:rFonts w:ascii="TimesNewRoman" w:hAnsi="TimesNewRoman" w:cs="TimesNewRoman" w:eastAsia="TimesNewRoman"/>
              </w:rPr>
            </w:pPr>
            <w:r>
              <w:rPr>
                <w:rFonts w:ascii="TimesNewRoman" w:hAnsi="TimesNewRoman" w:cs="TimesNewRoman" w:eastAsia="TimesNewRoman"/>
                <w:color w:val="000000"/>
              </w:rPr>
              <w:t xml:space="preserve">13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42" w:type="dxa"/>
            <w:textDirection w:val="lrTb"/>
            <w:noWrap w:val="false"/>
          </w:tcPr>
          <w:p>
            <w:pPr>
              <w:jc w:val="both"/>
              <w:rPr>
                <w:rFonts w:ascii="TimesNewRoman" w:hAnsi="TimesNewRoman" w:cs="TimesNewRoman" w:eastAsia="TimesNewRoman"/>
              </w:rPr>
            </w:pPr>
            <w:r>
              <w:rPr>
                <w:rFonts w:ascii="TimesNewRoman" w:hAnsi="TimesNewRoman" w:cs="TimesNewRoman" w:eastAsia="TimesNewRoman"/>
                <w:color w:val="000000"/>
              </w:rPr>
              <w:t xml:space="preserve">Рассмотрение предложений, поданных в период общественного обсуждения Программы профилактики, подготовка мотивированного заключения об их учете (в том числе частичном) или отклонении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rPr>
                <w:rFonts w:ascii="TimesNewRoman" w:hAnsi="TimesNewRoman" w:cs="TimesNewRoman" w:eastAsia="TimesNewRoman"/>
              </w:rPr>
            </w:pPr>
            <w:r>
              <w:rPr>
                <w:rFonts w:ascii="TimesNewRoman" w:hAnsi="TimesNewRoman" w:cs="TimesNewRoman" w:eastAsia="TimesNewRoman"/>
                <w:color w:val="000000"/>
              </w:rPr>
              <w:t xml:space="preserve">Начальник и заместитель начальника Управления (инспекции) государственного</w:t>
            </w:r>
            <w:r>
              <w:rPr>
                <w:rFonts w:ascii="TimesNewRoman" w:hAnsi="TimesNewRoman" w:cs="TimesNewRoman" w:eastAsia="TimesNewRoman"/>
                <w:color w:val="000000"/>
              </w:rPr>
              <w:t xml:space="preserve"> строительного надзора, долевого строительства и сохранности автомобильных дорог</w:t>
            </w:r>
            <w:r/>
          </w:p>
          <w:p>
            <w:pPr>
              <w:rPr>
                <w:rFonts w:ascii="TimesNewRoman" w:hAnsi="TimesNewRoman" w:cs="TimesNewRoman" w:eastAsia="TimesNewRoman"/>
              </w:rPr>
            </w:pPr>
            <w:r>
              <w:rPr>
                <w:rFonts w:ascii="TimesNewRoman" w:hAnsi="TimesNewRoman" w:cs="TimesNewRoman" w:eastAsia="TimesNew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NewRoman" w:hAnsi="TimesNewRoman" w:cs="TimesNewRoman" w:eastAsia="TimesNewRoman"/>
              </w:rPr>
            </w:pPr>
            <w:r>
              <w:rPr>
                <w:rFonts w:ascii="TimesNewRoman" w:hAnsi="TimesNewRoman" w:cs="TimesNewRoman" w:eastAsia="TimesNew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NewRoman" w:hAnsi="TimesNewRoman" w:cs="TimesNewRoman" w:eastAsia="TimesNewRoman"/>
              </w:rPr>
            </w:pPr>
            <w:r>
              <w:rPr>
                <w:rFonts w:ascii="TimesNewRoman" w:hAnsi="TimesNewRoman" w:cs="TimesNewRoman" w:eastAsia="TimesNewRoman"/>
                <w:color w:val="000000"/>
              </w:rPr>
              <w:t xml:space="preserve">с 01.11.2023</w:t>
            </w:r>
            <w:r/>
          </w:p>
          <w:p>
            <w:pPr>
              <w:jc w:val="center"/>
              <w:rPr>
                <w:rFonts w:ascii="TimesNewRoman" w:hAnsi="TimesNewRoman" w:cs="TimesNewRoman" w:eastAsia="TimesNewRoman"/>
              </w:rPr>
            </w:pPr>
            <w:r>
              <w:rPr>
                <w:rFonts w:ascii="TimesNewRoman" w:hAnsi="TimesNewRoman" w:cs="TimesNewRoman" w:eastAsia="TimesNewRoman"/>
                <w:color w:val="000000"/>
              </w:rPr>
              <w:t xml:space="preserve">по 01.12.2023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" w:type="dxa"/>
            <w:textDirection w:val="lrTb"/>
            <w:noWrap w:val="false"/>
          </w:tcPr>
          <w:p>
            <w:pPr>
              <w:jc w:val="center"/>
              <w:rPr>
                <w:rFonts w:ascii="TimesNewRoman" w:hAnsi="TimesNewRoman" w:cs="TimesNewRoman" w:eastAsia="TimesNewRoman"/>
              </w:rPr>
            </w:pPr>
            <w:r>
              <w:rPr>
                <w:rFonts w:ascii="TimesNewRoman" w:hAnsi="TimesNewRoman" w:cs="TimesNewRoman" w:eastAsia="TimesNewRoman"/>
                <w:color w:val="000000"/>
              </w:rPr>
              <w:t xml:space="preserve">14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42" w:type="dxa"/>
            <w:textDirection w:val="lrTb"/>
            <w:noWrap w:val="false"/>
          </w:tcPr>
          <w:p>
            <w:pPr>
              <w:jc w:val="both"/>
              <w:rPr>
                <w:rFonts w:ascii="TimesNewRoman" w:hAnsi="TimesNewRoman" w:cs="TimesNewRoman" w:eastAsia="TimesNewRoman"/>
              </w:rPr>
            </w:pPr>
            <w:r>
              <w:rPr>
                <w:rFonts w:ascii="TimesNewRoman" w:hAnsi="TimesNewRoman" w:cs="TimesNewRoman" w:eastAsia="TimesNewRoman"/>
                <w:color w:val="000000"/>
              </w:rPr>
              <w:t xml:space="preserve">Размещение на официальном сайте Министерства результатов общественного обсуждение Программы профилактики (включая перечень предложений и мотивированных заключений об их учете (в том числе частичном) или отклонении)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rPr>
                <w:rFonts w:ascii="TimesNewRoman" w:hAnsi="TimesNewRoman" w:cs="TimesNewRoman" w:eastAsia="TimesNewRoman"/>
              </w:rPr>
            </w:pPr>
            <w:r>
              <w:rPr>
                <w:rFonts w:ascii="TimesNewRoman" w:hAnsi="TimesNewRoman" w:cs="TimesNewRoman" w:eastAsia="TimesNewRoman"/>
                <w:color w:val="000000"/>
              </w:rPr>
              <w:t xml:space="preserve">Начальник и заместитель начальника Управл</w:t>
            </w:r>
            <w:r>
              <w:rPr>
                <w:rFonts w:ascii="TimesNewRoman" w:hAnsi="TimesNewRoman" w:cs="TimesNewRoman" w:eastAsia="TimesNewRoman"/>
                <w:color w:val="000000"/>
              </w:rPr>
              <w:t xml:space="preserve">ения (инспекции) государственного строительного надзора, долевого строительства и сохранности автомобильных дорог</w:t>
            </w:r>
            <w:r/>
          </w:p>
          <w:p>
            <w:pPr>
              <w:rPr>
                <w:rFonts w:ascii="TimesNewRoman" w:hAnsi="TimesNewRoman" w:cs="TimesNewRoman" w:eastAsia="TimesNewRoman"/>
              </w:rPr>
            </w:pPr>
            <w:r>
              <w:rPr>
                <w:rFonts w:ascii="TimesNewRoman" w:hAnsi="TimesNewRoman" w:cs="TimesNewRoman" w:eastAsia="TimesNew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NewRoman" w:hAnsi="TimesNewRoman" w:cs="TimesNewRoman" w:eastAsia="TimesNewRoman"/>
              </w:rPr>
            </w:pPr>
            <w:r>
              <w:rPr>
                <w:rFonts w:ascii="TimesNewRoman" w:hAnsi="TimesNewRoman" w:cs="TimesNewRoman" w:eastAsia="TimesNew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NewRoman" w:hAnsi="TimesNewRoman" w:cs="TimesNewRoman" w:eastAsia="TimesNewRoman"/>
              </w:rPr>
            </w:pPr>
            <w:r>
              <w:rPr>
                <w:rFonts w:ascii="TimesNewRoman" w:hAnsi="TimesNewRoman" w:cs="TimesNewRoman" w:eastAsia="TimesNewRoman"/>
                <w:color w:val="000000"/>
              </w:rPr>
              <w:t xml:space="preserve">до 10.12.2023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" w:type="dxa"/>
            <w:textDirection w:val="lrTb"/>
            <w:noWrap w:val="false"/>
          </w:tcPr>
          <w:p>
            <w:pPr>
              <w:jc w:val="center"/>
              <w:rPr>
                <w:rFonts w:ascii="TimesNewRoman" w:hAnsi="TimesNewRoman" w:cs="TimesNewRoman" w:eastAsia="TimesNewRoman"/>
              </w:rPr>
            </w:pPr>
            <w:r>
              <w:rPr>
                <w:rFonts w:ascii="TimesNewRoman" w:hAnsi="TimesNewRoman" w:cs="TimesNewRoman" w:eastAsia="TimesNewRoman"/>
                <w:color w:val="000000"/>
              </w:rPr>
              <w:t xml:space="preserve">15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42" w:type="dxa"/>
            <w:textDirection w:val="lrTb"/>
            <w:noWrap w:val="false"/>
          </w:tcPr>
          <w:p>
            <w:pPr>
              <w:jc w:val="both"/>
              <w:rPr>
                <w:rFonts w:ascii="TimesNewRoman" w:hAnsi="TimesNewRoman" w:cs="TimesNewRoman" w:eastAsia="TimesNewRoman"/>
              </w:rPr>
            </w:pPr>
            <w:r>
              <w:rPr>
                <w:rFonts w:ascii="TimesNewRoman" w:hAnsi="TimesNewRoman" w:cs="TimesNewRoman" w:eastAsia="TimesNewRoman"/>
                <w:color w:val="000000"/>
              </w:rPr>
              <w:t xml:space="preserve">Утверждение Программы профилактики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rPr>
                <w:rFonts w:ascii="TimesNewRoman" w:hAnsi="TimesNewRoman" w:cs="TimesNewRoman" w:eastAsia="TimesNewRoman"/>
              </w:rPr>
            </w:pPr>
            <w:r>
              <w:rPr>
                <w:rFonts w:ascii="TimesNewRoman" w:hAnsi="TimesNewRoman" w:cs="TimesNewRoman" w:eastAsia="TimesNewRoman"/>
                <w:color w:val="000000"/>
              </w:rPr>
              <w:t xml:space="preserve">Министр (Заместитель Министра) </w:t>
            </w:r>
            <w:r/>
          </w:p>
          <w:p>
            <w:pPr>
              <w:rPr>
                <w:rFonts w:ascii="TimesNewRoman" w:hAnsi="TimesNewRoman" w:cs="TimesNewRoman" w:eastAsia="TimesNewRoman"/>
              </w:rPr>
            </w:pPr>
            <w:r>
              <w:rPr>
                <w:rFonts w:ascii="TimesNewRoman" w:hAnsi="TimesNewRoman" w:cs="TimesNewRoman" w:eastAsia="TimesNew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NewRoman" w:hAnsi="TimesNewRoman" w:cs="TimesNewRoman" w:eastAsia="TimesNewRoman"/>
              </w:rPr>
            </w:pPr>
            <w:r>
              <w:rPr>
                <w:rFonts w:ascii="TimesNewRoman" w:hAnsi="TimesNewRoman" w:cs="TimesNewRoman" w:eastAsia="TimesNew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NewRoman" w:hAnsi="TimesNewRoman" w:cs="TimesNewRoman" w:eastAsia="TimesNewRoman"/>
              </w:rPr>
            </w:pPr>
            <w:r>
              <w:rPr>
                <w:rFonts w:ascii="TimesNewRoman" w:hAnsi="TimesNewRoman" w:cs="TimesNewRoman" w:eastAsia="TimesNewRoman"/>
                <w:color w:val="000000"/>
              </w:rPr>
              <w:t xml:space="preserve">до 20.12.2023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" w:type="dxa"/>
            <w:textDirection w:val="lrTb"/>
            <w:noWrap w:val="false"/>
          </w:tcPr>
          <w:p>
            <w:pPr>
              <w:jc w:val="center"/>
              <w:rPr>
                <w:rFonts w:ascii="TimesNewRoman" w:hAnsi="TimesNewRoman" w:cs="TimesNewRoman" w:eastAsia="TimesNewRoman"/>
              </w:rPr>
            </w:pPr>
            <w:r>
              <w:rPr>
                <w:rFonts w:ascii="TimesNewRoman" w:hAnsi="TimesNewRoman" w:cs="TimesNewRoman" w:eastAsia="TimesNewRoman"/>
                <w:color w:val="000000"/>
              </w:rPr>
              <w:t xml:space="preserve">16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42" w:type="dxa"/>
            <w:textDirection w:val="lrTb"/>
            <w:noWrap w:val="false"/>
          </w:tcPr>
          <w:p>
            <w:pPr>
              <w:jc w:val="both"/>
              <w:rPr>
                <w:rFonts w:ascii="TimesNewRoman" w:hAnsi="TimesNewRoman" w:cs="TimesNewRoman" w:eastAsia="TimesNewRoman"/>
              </w:rPr>
            </w:pPr>
            <w:r>
              <w:rPr>
                <w:rFonts w:ascii="TimesNewRoman" w:hAnsi="TimesNewRoman" w:cs="TimesNewRoman" w:eastAsia="TimesNewRoman"/>
                <w:color w:val="000000"/>
              </w:rPr>
              <w:t xml:space="preserve">Размещение на официальном сайте Министерства утвержденной Программы профилактики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rPr>
                <w:rFonts w:ascii="TimesNewRoman" w:hAnsi="TimesNewRoman" w:cs="TimesNewRoman" w:eastAsia="TimesNewRoman"/>
              </w:rPr>
            </w:pPr>
            <w:r>
              <w:rPr>
                <w:rFonts w:ascii="TimesNewRoman" w:hAnsi="TimesNewRoman" w:cs="TimesNewRoman" w:eastAsia="TimesNewRoman"/>
                <w:color w:val="000000"/>
              </w:rPr>
              <w:t xml:space="preserve">Начальник и заместитель начальника Управления (инспекции) государственного строительного надзора, долевого строительства и сохранности автомобильных дорог</w:t>
            </w:r>
            <w:r/>
          </w:p>
          <w:p>
            <w:pPr>
              <w:rPr>
                <w:rFonts w:ascii="TimesNewRoman" w:hAnsi="TimesNewRoman" w:cs="TimesNewRoman" w:eastAsia="TimesNewRoman"/>
              </w:rPr>
            </w:pPr>
            <w:r>
              <w:rPr>
                <w:rFonts w:ascii="TimesNewRoman" w:hAnsi="TimesNewRoman" w:cs="TimesNewRoman" w:eastAsia="TimesNew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NewRoman" w:hAnsi="TimesNewRoman" w:cs="TimesNewRoman" w:eastAsia="TimesNewRoman"/>
              </w:rPr>
            </w:pPr>
            <w:r>
              <w:rPr>
                <w:rFonts w:ascii="TimesNewRoman" w:hAnsi="TimesNewRoman" w:cs="TimesNewRoman" w:eastAsia="TimesNew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NewRoman" w:hAnsi="TimesNewRoman" w:cs="TimesNewRoman" w:eastAsia="TimesNewRoman"/>
              </w:rPr>
            </w:pPr>
            <w:r>
              <w:rPr>
                <w:rFonts w:ascii="TimesNewRoman" w:hAnsi="TimesNewRoman" w:cs="TimesNewRoman" w:eastAsia="TimesNewRoman"/>
                <w:color w:val="000000"/>
              </w:rPr>
              <w:t xml:space="preserve">В течение 5 дней с</w:t>
            </w:r>
            <w:r>
              <w:rPr>
                <w:rFonts w:ascii="TimesNewRoman" w:hAnsi="TimesNewRoman" w:cs="TimesNewRoman" w:eastAsia="TimesNewRoman"/>
                <w:color w:val="000000"/>
              </w:rPr>
              <w:t xml:space="preserve">о дня утверждения</w:t>
            </w:r>
            <w:r/>
          </w:p>
        </w:tc>
      </w:tr>
    </w:tbl>
    <w:p>
      <w:pPr>
        <w:jc w:val="center"/>
        <w:rPr>
          <w:rFonts w:ascii="TimesNewRoman" w:hAnsi="TimesNewRoman" w:cs="TimesNewRoman" w:eastAsia="TimesNewRoman"/>
        </w:rPr>
      </w:pPr>
      <w:r>
        <w:rPr>
          <w:rFonts w:ascii="TimesNewRoman" w:hAnsi="TimesNewRoman" w:cs="TimesNewRoman" w:eastAsia="TimesNewRoman"/>
        </w:rPr>
      </w:r>
      <w:r/>
    </w:p>
    <w:p>
      <w:pPr>
        <w:jc w:val="center"/>
        <w:rPr>
          <w:rFonts w:ascii="TimesNewRoman" w:hAnsi="TimesNewRoman" w:cs="TimesNewRoman" w:eastAsia="TimesNewRoman"/>
        </w:rPr>
      </w:pPr>
      <w:r>
        <w:rPr>
          <w:rFonts w:ascii="TimesNewRoman" w:hAnsi="TimesNewRoman" w:cs="TimesNewRoman" w:eastAsia="TimesNewRoman"/>
        </w:rPr>
      </w:r>
      <w:r/>
    </w:p>
    <w:p>
      <w:pPr>
        <w:contextualSpacing/>
        <w:jc w:val="center"/>
        <w:rPr>
          <w:rFonts w:ascii="TimesNewRoman" w:hAnsi="TimesNewRoman" w:cs="TimesNewRoman" w:eastAsia="TimesNewRoman"/>
          <w:b/>
          <w:color w:val="000000"/>
          <w:sz w:val="27"/>
        </w:rPr>
      </w:pPr>
      <w:r>
        <w:rPr>
          <w:rFonts w:ascii="TimesNewRoman" w:hAnsi="TimesNewRoman" w:cs="TimesNewRoman" w:eastAsia="TimesNewRoman"/>
          <w:b/>
          <w:color w:val="000000"/>
          <w:sz w:val="27"/>
        </w:rPr>
        <w:t xml:space="preserve">4. Показатели результативности и эффективности программы профилактики рисков причинения вреда.</w:t>
      </w:r>
      <w:r/>
    </w:p>
    <w:p>
      <w:pPr>
        <w:contextualSpacing/>
        <w:jc w:val="center"/>
        <w:rPr>
          <w:rFonts w:ascii="TimesNewRoman" w:hAnsi="TimesNewRoman" w:cs="TimesNewRoman" w:eastAsia="TimesNewRoman"/>
        </w:rPr>
      </w:pPr>
      <w:r>
        <w:rPr>
          <w:rFonts w:ascii="TimesNewRoman" w:hAnsi="TimesNewRoman" w:cs="TimesNewRoman" w:eastAsia="TimesNewRoman"/>
        </w:rPr>
      </w:r>
      <w:r/>
    </w:p>
    <w:tbl>
      <w:tblPr>
        <w:tblW w:w="0" w:type="auto"/>
        <w:tblInd w:w="0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5999"/>
        <w:gridCol w:w="3354"/>
      </w:tblGrid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0" w:leader="none"/>
                <w:tab w:val="left" w:pos="284" w:leader="none"/>
              </w:tabs>
              <w:rPr>
                <w:rFonts w:ascii="TimesNewRoman" w:hAnsi="TimesNewRoman" w:cs="TimesNewRoman" w:eastAsia="TimesNewRoman"/>
              </w:rPr>
            </w:pPr>
            <w:r>
              <w:rPr>
                <w:rFonts w:ascii="TimesNewRoman" w:hAnsi="TimesNewRoman" w:cs="TimesNewRoman" w:eastAsia="TimesNewRoman"/>
                <w:color w:val="000000"/>
                <w:sz w:val="20"/>
              </w:rPr>
              <w:t xml:space="preserve">№</w:t>
            </w:r>
            <w:r>
              <w:rPr>
                <w:rFonts w:ascii="TimesNewRoman" w:hAnsi="TimesNewRoman" w:cs="TimesNewRoman" w:eastAsia="TimesNew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999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0" w:leader="none"/>
                <w:tab w:val="left" w:pos="284" w:leader="none"/>
              </w:tabs>
              <w:rPr>
                <w:rFonts w:ascii="TimesNewRoman" w:hAnsi="TimesNewRoman" w:cs="TimesNewRoman" w:eastAsia="TimesNewRoman"/>
              </w:rPr>
            </w:pPr>
            <w:r>
              <w:rPr>
                <w:rFonts w:ascii="TimesNewRoman" w:hAnsi="TimesNewRoman" w:cs="TimesNewRoman" w:eastAsia="TimesNewRoman"/>
                <w:color w:val="000000"/>
                <w:sz w:val="20"/>
              </w:rPr>
              <w:t xml:space="preserve">Наименование показателя</w:t>
            </w:r>
            <w:r>
              <w:rPr>
                <w:rFonts w:ascii="TimesNewRoman" w:hAnsi="TimesNewRoman" w:cs="TimesNewRoman" w:eastAsia="TimesNew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54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0" w:leader="none"/>
                <w:tab w:val="left" w:pos="284" w:leader="none"/>
              </w:tabs>
              <w:rPr>
                <w:rFonts w:ascii="TimesNewRoman" w:hAnsi="TimesNewRoman" w:cs="TimesNewRoman" w:eastAsia="TimesNewRoman"/>
              </w:rPr>
            </w:pPr>
            <w:r>
              <w:rPr>
                <w:rFonts w:ascii="TimesNewRoman" w:hAnsi="TimesNewRoman" w:cs="TimesNewRoman" w:eastAsia="TimesNewRoman"/>
                <w:color w:val="000000"/>
                <w:sz w:val="20"/>
              </w:rPr>
              <w:t xml:space="preserve">Величина</w:t>
            </w:r>
            <w:r>
              <w:rPr>
                <w:rFonts w:ascii="TimesNewRoman" w:hAnsi="TimesNewRoman" w:cs="TimesNewRoman" w:eastAsia="TimesNewRoman"/>
              </w:rPr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0" w:leader="none"/>
                <w:tab w:val="left" w:pos="284" w:leader="none"/>
              </w:tabs>
              <w:rPr>
                <w:rFonts w:ascii="TimesNewRoman" w:hAnsi="TimesNewRoman" w:cs="TimesNewRoman" w:eastAsia="TimesNewRoman"/>
              </w:rPr>
            </w:pPr>
            <w:r>
              <w:rPr>
                <w:rFonts w:ascii="TimesNewRoman" w:hAnsi="TimesNewRoman" w:cs="TimesNewRoman" w:eastAsia="TimesNewRoman"/>
                <w:color w:val="000000"/>
                <w:sz w:val="20"/>
              </w:rPr>
              <w:t xml:space="preserve">1.</w:t>
            </w:r>
            <w:r>
              <w:rPr>
                <w:rFonts w:ascii="TimesNewRoman" w:hAnsi="TimesNewRoman" w:cs="TimesNewRoman" w:eastAsia="TimesNew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999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0" w:leader="none"/>
                <w:tab w:val="left" w:pos="284" w:leader="none"/>
              </w:tabs>
              <w:rPr>
                <w:rFonts w:ascii="TimesNewRoman" w:hAnsi="TimesNewRoman" w:cs="TimesNewRoman" w:eastAsia="TimesNewRoman"/>
              </w:rPr>
            </w:pPr>
            <w:r>
              <w:rPr>
                <w:rFonts w:ascii="TimesNewRoman" w:hAnsi="TimesNewRoman" w:cs="TimesNewRoman" w:eastAsia="TimesNewRoman"/>
                <w:color w:val="000000"/>
                <w:sz w:val="20"/>
              </w:rPr>
              <w:t xml:space="preserve">Полнота информ</w:t>
            </w:r>
            <w:r>
              <w:rPr>
                <w:rFonts w:ascii="TimesNewRoman" w:hAnsi="TimesNewRoman" w:cs="TimesNewRoman" w:eastAsia="TimesNewRoman"/>
                <w:color w:val="000000"/>
                <w:sz w:val="20"/>
              </w:rPr>
              <w:t xml:space="preserve">ации, размещенной на официальном интернет-сайте контрольного органа в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  <w:r>
              <w:rPr>
                <w:rFonts w:ascii="TimesNewRoman" w:hAnsi="TimesNewRoman" w:cs="TimesNewRoman" w:eastAsia="TimesNew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5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left" w:pos="0" w:leader="none"/>
                <w:tab w:val="left" w:pos="284" w:leader="none"/>
              </w:tabs>
              <w:rPr>
                <w:rFonts w:ascii="TimesNewRoman" w:hAnsi="TimesNewRoman" w:cs="TimesNewRoman" w:eastAsia="TimesNewRoman"/>
              </w:rPr>
            </w:pPr>
            <w:r>
              <w:rPr>
                <w:rFonts w:ascii="TimesNewRoman" w:hAnsi="TimesNewRoman" w:cs="TimesNewRoman" w:eastAsia="TimesNewRoman"/>
                <w:color w:val="000000"/>
                <w:sz w:val="20"/>
              </w:rPr>
              <w:t xml:space="preserve">100%</w:t>
            </w:r>
            <w:r>
              <w:rPr>
                <w:rFonts w:ascii="TimesNewRoman" w:hAnsi="TimesNewRoman" w:cs="TimesNewRoman" w:eastAsia="TimesNewRoman"/>
              </w:rPr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0" w:leader="none"/>
                <w:tab w:val="left" w:pos="284" w:leader="none"/>
              </w:tabs>
              <w:rPr>
                <w:rFonts w:ascii="TimesNewRoman" w:hAnsi="TimesNewRoman" w:cs="TimesNewRoman" w:eastAsia="TimesNewRoman"/>
              </w:rPr>
            </w:pPr>
            <w:r>
              <w:rPr>
                <w:rFonts w:ascii="TimesNewRoman" w:hAnsi="TimesNewRoman" w:cs="TimesNewRoman" w:eastAsia="TimesNewRoman"/>
                <w:color w:val="000000"/>
                <w:sz w:val="20"/>
              </w:rPr>
              <w:t xml:space="preserve">2.</w:t>
            </w:r>
            <w:r>
              <w:rPr>
                <w:rFonts w:ascii="TimesNewRoman" w:hAnsi="TimesNewRoman" w:cs="TimesNewRoman" w:eastAsia="TimesNew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999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0" w:leader="none"/>
                <w:tab w:val="left" w:pos="284" w:leader="none"/>
              </w:tabs>
              <w:rPr>
                <w:rFonts w:ascii="TimesNewRoman" w:hAnsi="TimesNewRoman" w:cs="TimesNewRoman" w:eastAsia="TimesNewRoman"/>
              </w:rPr>
            </w:pPr>
            <w:r>
              <w:rPr>
                <w:rFonts w:ascii="TimesNewRoman" w:hAnsi="TimesNewRoman" w:cs="TimesNewRoman" w:eastAsia="TimesNewRoman"/>
                <w:color w:val="000000"/>
                <w:sz w:val="20"/>
              </w:rPr>
              <w:t xml:space="preserve">Удовлетворенность контролируемых лиц и их представителями консультированием контрольного органа</w:t>
            </w:r>
            <w:r>
              <w:rPr>
                <w:rFonts w:ascii="TimesNewRoman" w:hAnsi="TimesNewRoman" w:cs="TimesNewRoman" w:eastAsia="TimesNew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5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left" w:pos="0" w:leader="none"/>
                <w:tab w:val="left" w:pos="284" w:leader="none"/>
              </w:tabs>
              <w:rPr>
                <w:rFonts w:ascii="TimesNewRoman" w:hAnsi="TimesNewRoman" w:cs="TimesNewRoman" w:eastAsia="TimesNewRoman"/>
              </w:rPr>
            </w:pPr>
            <w:r>
              <w:rPr>
                <w:rFonts w:ascii="TimesNewRoman" w:hAnsi="TimesNewRoman" w:cs="TimesNewRoman" w:eastAsia="TimesNewRoman"/>
                <w:color w:val="000000"/>
                <w:sz w:val="20"/>
              </w:rPr>
              <w:t xml:space="preserve">100 % от числа обратившихся</w:t>
            </w:r>
            <w:r>
              <w:rPr>
                <w:rFonts w:ascii="TimesNewRoman" w:hAnsi="TimesNewRoman" w:cs="TimesNewRoman" w:eastAsia="TimesNewRoman"/>
              </w:rPr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" w:type="dxa"/>
            <w:vMerge w:val="restart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0" w:leader="none"/>
                <w:tab w:val="left" w:pos="284" w:leader="none"/>
              </w:tabs>
              <w:rPr>
                <w:rFonts w:ascii="TimesNewRoman" w:hAnsi="TimesNewRoman" w:cs="TimesNewRoman" w:eastAsia="TimesNewRoman"/>
                <w:color w:val="000000"/>
                <w:sz w:val="20"/>
              </w:rPr>
            </w:pPr>
            <w:r>
              <w:rPr>
                <w:rFonts w:ascii="TimesNewRoman" w:hAnsi="TimesNewRoman" w:cs="TimesNewRoman" w:eastAsia="TimesNewRoman"/>
                <w:color w:val="000000"/>
                <w:sz w:val="20"/>
              </w:rPr>
              <w:t xml:space="preserve">3</w:t>
            </w:r>
            <w:r>
              <w:rPr>
                <w:rFonts w:ascii="TimesNewRoman" w:hAnsi="TimesNewRoman" w:cs="TimesNewRoman" w:eastAsia="TimesNewRoman"/>
                <w:color w:val="000000"/>
                <w:sz w:val="2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999" w:type="dxa"/>
            <w:vMerge w:val="restart"/>
            <w:textDirection w:val="lrTb"/>
            <w:noWrap w:val="false"/>
          </w:tcPr>
          <w:p>
            <w:pPr>
              <w:pStyle w:val="829"/>
              <w:jc w:val="both"/>
              <w:spacing w:line="274" w:lineRule="exact"/>
              <w:widowControl w:val="off"/>
            </w:pPr>
            <w:r>
              <w:t xml:space="preserve">Доля</w:t>
            </w:r>
            <w:r>
              <w:t xml:space="preserve"> лиц,</w:t>
            </w:r>
            <w:r>
              <w:t xml:space="preserve"> удовлетворённых консультированием в общем количестве </w:t>
            </w:r>
            <w:r>
              <w:t xml:space="preserve">лиц,</w:t>
            </w:r>
            <w:r>
              <w:t xml:space="preserve"> обратившихся за консультированием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54" w:type="dxa"/>
            <w:vMerge w:val="restart"/>
            <w:textDirection w:val="lrTb"/>
            <w:noWrap w:val="false"/>
          </w:tcPr>
          <w:p>
            <w:pPr>
              <w:pStyle w:val="829"/>
              <w:jc w:val="center"/>
              <w:spacing w:line="277" w:lineRule="exact"/>
              <w:widowControl w:val="off"/>
            </w:pPr>
            <w:r>
              <w:t xml:space="preserve">100%</w:t>
            </w:r>
            <w:r/>
          </w:p>
        </w:tc>
      </w:tr>
    </w:tbl>
    <w:p>
      <w:pPr>
        <w:pStyle w:val="825"/>
        <w:ind w:firstLine="851"/>
        <w:jc w:val="both"/>
        <w:spacing w:after="0" w:line="240" w:lineRule="auto"/>
        <w:rPr>
          <w:rFonts w:ascii="TimesNewRoman" w:hAnsi="TimesNewRoman" w:cs="TimesNewRoman" w:eastAsia="TimesNewRoman"/>
        </w:rPr>
      </w:pPr>
      <w:r>
        <w:rPr>
          <w:rFonts w:ascii="TimesNewRoman" w:hAnsi="TimesNewRoman" w:cs="TimesNewRoman" w:eastAsia="TimesNewRoman"/>
        </w:rPr>
      </w:r>
      <w:r>
        <w:rPr>
          <w:rFonts w:ascii="TimesNewRoman" w:hAnsi="TimesNewRoman" w:cs="TimesNewRoman" w:eastAsia="TimesNewRoman"/>
        </w:rPr>
      </w:r>
      <w:r/>
    </w:p>
    <w:p>
      <w:pPr>
        <w:pStyle w:val="825"/>
        <w:ind w:left="0" w:right="0" w:firstLine="567"/>
        <w:jc w:val="both"/>
        <w:spacing w:after="0" w:line="240" w:lineRule="auto"/>
        <w:rPr>
          <w:rFonts w:ascii="TimesNewRoman" w:hAnsi="TimesNewRoman" w:cs="TimesNewRoman" w:eastAsia="TimesNewRoman"/>
          <w:color w:val="000000"/>
          <w:sz w:val="27"/>
        </w:rPr>
      </w:pPr>
      <w:r>
        <w:rPr>
          <w:rFonts w:ascii="TimesNewRoman" w:hAnsi="TimesNewRoman" w:cs="TimesNewRoman" w:eastAsia="TimesNewRoman"/>
          <w:color w:val="000000"/>
          <w:sz w:val="27"/>
        </w:rPr>
        <w:t xml:space="preserve">Информация об осуществлении </w:t>
      </w:r>
      <w:r>
        <w:rPr>
          <w:rFonts w:ascii="TimesNewRoman" w:hAnsi="TimesNewRoman" w:cs="TimesNewRoman" w:eastAsia="TimesNewRoman"/>
          <w:color w:val="000000"/>
          <w:sz w:val="27"/>
        </w:rPr>
        <w:t xml:space="preserve">регионального государственного контроля (надзора) </w:t>
      </w:r>
      <w:r>
        <w:rPr>
          <w:rFonts w:ascii="TimesNewRoman" w:hAnsi="TimesNewRoman" w:cs="TimesNewRoman" w:eastAsia="TimesNewRoman"/>
          <w:color w:val="000000"/>
          <w:sz w:val="27"/>
        </w:rPr>
        <w:t xml:space="preserve">размещена на официальном сайте Министерства в главе «Управление строительства и дорожного хозяйства» разделе «Управление (Инспекции) государственного строительного надзора, долевого строительства и сохранно</w:t>
      </w:r>
      <w:r>
        <w:rPr>
          <w:rFonts w:ascii="TimesNewRoman" w:hAnsi="TimesNewRoman" w:cs="TimesNewRoman" w:eastAsia="TimesNewRoman"/>
          <w:color w:val="000000"/>
          <w:sz w:val="27"/>
        </w:rPr>
        <w:t xml:space="preserve">сти автомобильных дорог» по адресу: </w:t>
      </w:r>
      <w:hyperlink r:id="rId9" w:tooltip="https://mingrad.pnzreg.ru/deyatelnost-ministerstva/upravlenie-inspektsiya-gos-stroitelnogo-nadzora-i-sokhrannosti-avtomobilnykh-dorog/" w:history="1">
        <w:r>
          <w:rPr>
            <w:rStyle w:val="810"/>
            <w:rFonts w:ascii="TimesNewRoman" w:hAnsi="TimesNewRoman" w:cs="TimesNewRoman" w:eastAsia="TimesNewRoman"/>
            <w:sz w:val="27"/>
          </w:rPr>
        </w:r>
        <w:r>
          <w:rPr>
            <w:rStyle w:val="810"/>
            <w:rFonts w:ascii="TimesNewRoman" w:hAnsi="TimesNewRoman" w:cs="TimesNewRoman" w:eastAsia="TimesNewRoman"/>
            <w:sz w:val="27"/>
          </w:rPr>
          <w:t xml:space="preserve">https://mingrad.pnzreg.ru/deyatelnost-ministerstva/upravlenie-inspektsiya-gos-stroitelnogo-nadzora-i-sokhrannosti-avtomobilnykh-dorog/</w:t>
        </w:r>
        <w:r>
          <w:rPr>
            <w:rStyle w:val="810"/>
            <w:rFonts w:ascii="TimesNewRoman" w:hAnsi="TimesNewRoman" w:cs="TimesNewRoman" w:eastAsia="TimesNewRoman"/>
            <w:sz w:val="27"/>
          </w:rPr>
        </w:r>
        <w:r>
          <w:rPr>
            <w:rStyle w:val="810"/>
          </w:rPr>
        </w:r>
      </w:hyperlink>
      <w:r/>
      <w:r/>
    </w:p>
    <w:p>
      <w:pPr>
        <w:pStyle w:val="632"/>
        <w:ind w:left="0" w:right="0" w:firstLine="567"/>
        <w:jc w:val="both"/>
        <w:spacing w:before="0" w:after="0" w:line="240" w:lineRule="auto"/>
        <w:shd w:val="clear" w:color="auto" w:fill="ffffff"/>
        <w:tabs>
          <w:tab w:val="left" w:pos="284" w:leader="none"/>
        </w:tabs>
        <w:rPr>
          <w:rFonts w:ascii="TimesNewRoman" w:hAnsi="TimesNewRoman" w:cs="TimesNewRoman" w:eastAsia="TimesNew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NewRoman" w:hAnsi="TimesNewRoman" w:cs="TimesNewRoman" w:eastAsia="TimesNewRoman"/>
          <w:color w:val="000000"/>
          <w:spacing w:val="0"/>
          <w:position w:val="0"/>
          <w:sz w:val="27"/>
          <w:highlight w:val="white"/>
        </w:rPr>
        <w:t xml:space="preserve">Снижение рисков причинения вреда охраняемым законо</w:t>
      </w:r>
      <w:r>
        <w:rPr>
          <w:rFonts w:ascii="TimesNewRoman" w:hAnsi="TimesNewRoman" w:cs="TimesNewRoman" w:eastAsia="TimesNewRoman"/>
          <w:color w:val="000000"/>
          <w:spacing w:val="0"/>
          <w:position w:val="0"/>
          <w:sz w:val="27"/>
        </w:rPr>
        <w:t xml:space="preserve">м ценностям может быть обеспечено за счет: </w:t>
      </w:r>
      <w:r>
        <w:rPr>
          <w:rFonts w:ascii="TimesNewRoman" w:hAnsi="TimesNewRoman" w:cs="TimesNewRoman" w:eastAsia="TimesNewRoman"/>
          <w:color w:val="000000"/>
          <w:sz w:val="27"/>
        </w:rPr>
      </w:r>
      <w:r/>
    </w:p>
    <w:p>
      <w:pPr>
        <w:pStyle w:val="632"/>
        <w:ind w:left="0" w:right="0" w:firstLine="567"/>
        <w:jc w:val="both"/>
        <w:spacing w:before="0" w:after="0" w:line="240" w:lineRule="auto"/>
        <w:shd w:val="clear" w:color="auto" w:fill="ffffff"/>
        <w:tabs>
          <w:tab w:val="left" w:pos="284" w:leader="none"/>
        </w:tabs>
        <w:rPr>
          <w:rFonts w:ascii="TimesNewRoman" w:hAnsi="TimesNewRoman" w:cs="TimesNewRoman" w:eastAsia="TimesNew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NewRoman" w:hAnsi="TimesNewRoman" w:cs="TimesNewRoman" w:eastAsia="TimesNewRoman"/>
          <w:color w:val="000000"/>
          <w:spacing w:val="0"/>
          <w:position w:val="0"/>
          <w:sz w:val="27"/>
        </w:rPr>
        <w:t xml:space="preserve">- информированности контролируемых лиц об обязательных требованиях,  о  принятых  изменениях, о порядке проведения проверок, о правах контролируемых лиц в ходе проверки;</w:t>
      </w:r>
      <w:r>
        <w:rPr>
          <w:rFonts w:ascii="TimesNewRoman" w:hAnsi="TimesNewRoman" w:cs="TimesNewRoman" w:eastAsia="TimesNewRoman"/>
          <w:color w:val="000000"/>
          <w:sz w:val="27"/>
        </w:rPr>
      </w:r>
      <w:r/>
    </w:p>
    <w:p>
      <w:pPr>
        <w:pStyle w:val="632"/>
        <w:ind w:left="0" w:right="0" w:firstLine="567"/>
        <w:jc w:val="both"/>
        <w:spacing w:before="0" w:after="0" w:line="240" w:lineRule="auto"/>
        <w:shd w:val="clear" w:color="auto" w:fill="ffffff"/>
        <w:tabs>
          <w:tab w:val="left" w:pos="284" w:leader="none"/>
        </w:tabs>
        <w:rPr>
          <w:rFonts w:ascii="TimesNewRoman" w:hAnsi="TimesNewRoman" w:cs="TimesNewRoman" w:eastAsia="TimesNew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NewRoman" w:hAnsi="TimesNewRoman" w:cs="TimesNewRoman" w:eastAsia="TimesNewRoman"/>
          <w:color w:val="000000"/>
          <w:spacing w:val="0"/>
          <w:position w:val="0"/>
          <w:sz w:val="27"/>
        </w:rPr>
        <w:t xml:space="preserve">- разъяснений по применению обязательных  требований,  обеспечивающих их однозначное толкование, как контролируемыми лицами, так и контрольно-надзорным органом (Министерством).</w:t>
      </w:r>
      <w:r>
        <w:rPr>
          <w:rFonts w:ascii="TimesNewRoman" w:hAnsi="TimesNewRoman" w:cs="TimesNewRoman" w:eastAsia="TimesNewRoman"/>
          <w:color w:val="000000"/>
          <w:sz w:val="27"/>
        </w:rPr>
      </w:r>
      <w:r/>
    </w:p>
    <w:p>
      <w:pPr>
        <w:pStyle w:val="825"/>
        <w:contextualSpacing/>
        <w:ind w:left="0" w:right="0" w:firstLine="567"/>
        <w:jc w:val="both"/>
        <w:spacing w:before="0" w:after="0" w:line="240" w:lineRule="auto"/>
        <w:shd w:val="clear" w:color="auto" w:fill="ffffff"/>
        <w:tabs>
          <w:tab w:val="left" w:pos="284" w:leader="none"/>
        </w:tabs>
        <w:rPr>
          <w:rFonts w:ascii="TimesNewRoman" w:hAnsi="TimesNewRoman" w:cs="TimesNewRoman" w:eastAsia="TimesNew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NewRoman" w:hAnsi="TimesNewRoman" w:cs="TimesNewRoman" w:eastAsia="TimesNewRoman"/>
          <w:color w:val="000000"/>
          <w:spacing w:val="0"/>
          <w:position w:val="0"/>
          <w:sz w:val="27"/>
        </w:rPr>
        <w:t xml:space="preserve">Основными показателями эффективности и результативности являются:</w:t>
      </w:r>
      <w:r>
        <w:rPr>
          <w:rFonts w:ascii="TimesNewRoman" w:hAnsi="TimesNewRoman" w:cs="TimesNewRoman" w:eastAsia="TimesNewRoman"/>
          <w:color w:val="000000"/>
          <w:sz w:val="27"/>
        </w:rPr>
      </w:r>
      <w:r/>
    </w:p>
    <w:p>
      <w:pPr>
        <w:pStyle w:val="825"/>
        <w:contextualSpacing/>
        <w:ind w:left="0" w:right="0" w:firstLine="567"/>
        <w:jc w:val="both"/>
        <w:spacing w:before="0" w:after="0" w:line="240" w:lineRule="auto"/>
        <w:shd w:val="clear" w:color="auto" w:fill="ffffff"/>
        <w:tabs>
          <w:tab w:val="left" w:pos="284" w:leader="none"/>
        </w:tabs>
        <w:rPr>
          <w:rFonts w:ascii="TimesNewRoman" w:hAnsi="TimesNewRoman" w:cs="TimesNewRoman" w:eastAsia="TimesNew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NewRoman" w:hAnsi="TimesNewRoman" w:cs="TimesNewRoman" w:eastAsia="TimesNewRoman"/>
          <w:color w:val="000000"/>
          <w:spacing w:val="0"/>
          <w:position w:val="0"/>
          <w:sz w:val="27"/>
        </w:rPr>
        <w:t xml:space="preserve">- количество проведенных профилактических мероприятий;</w:t>
      </w:r>
      <w:r>
        <w:rPr>
          <w:rFonts w:ascii="TimesNewRoman" w:hAnsi="TimesNewRoman" w:cs="TimesNewRoman" w:eastAsia="TimesNewRoman"/>
          <w:color w:val="000000"/>
          <w:sz w:val="27"/>
        </w:rPr>
      </w:r>
      <w:r/>
    </w:p>
    <w:p>
      <w:pPr>
        <w:pStyle w:val="825"/>
        <w:contextualSpacing/>
        <w:ind w:left="0" w:right="0" w:firstLine="567"/>
        <w:jc w:val="both"/>
        <w:spacing w:before="0" w:after="0" w:line="240" w:lineRule="auto"/>
        <w:shd w:val="clear" w:color="auto" w:fill="ffffff"/>
        <w:tabs>
          <w:tab w:val="left" w:pos="284" w:leader="none"/>
        </w:tabs>
        <w:rPr>
          <w:rFonts w:ascii="TimesNewRoman" w:hAnsi="TimesNewRoman" w:cs="TimesNewRoman" w:eastAsia="TimesNew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NewRoman" w:hAnsi="TimesNewRoman" w:cs="TimesNewRoman" w:eastAsia="TimesNewRoman"/>
          <w:color w:val="000000"/>
          <w:spacing w:val="0"/>
          <w:position w:val="0"/>
          <w:sz w:val="27"/>
        </w:rPr>
        <w:t xml:space="preserve">- количество контролируемых лиц, в отношении которых проведены профилактические мероприятия;</w:t>
      </w:r>
      <w:r>
        <w:rPr>
          <w:rFonts w:ascii="TimesNewRoman" w:hAnsi="TimesNewRoman" w:cs="TimesNewRoman" w:eastAsia="TimesNewRoman"/>
          <w:color w:val="000000"/>
          <w:sz w:val="27"/>
        </w:rPr>
      </w:r>
      <w:r/>
    </w:p>
    <w:p>
      <w:pPr>
        <w:pStyle w:val="825"/>
        <w:contextualSpacing/>
        <w:ind w:left="0" w:right="0" w:firstLine="567"/>
        <w:jc w:val="both"/>
        <w:spacing w:before="0" w:after="0" w:line="240" w:lineRule="auto"/>
        <w:shd w:val="clear" w:color="auto" w:fill="ffffff"/>
        <w:tabs>
          <w:tab w:val="left" w:pos="284" w:leader="none"/>
        </w:tabs>
        <w:rPr>
          <w:rFonts w:ascii="TimesNewRoman" w:hAnsi="TimesNewRoman" w:cs="TimesNewRoman" w:eastAsia="TimesNew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NewRoman" w:hAnsi="TimesNewRoman" w:cs="TimesNewRoman" w:eastAsia="TimesNewRoman"/>
          <w:color w:val="000000"/>
          <w:spacing w:val="0"/>
          <w:position w:val="0"/>
          <w:sz w:val="27"/>
        </w:rPr>
        <w:t xml:space="preserve">- доля объектов капитального строительства, на которых проведены профилактические мероприятия, от общего количества поднадзорных объектов (устанавливается в процентах).</w:t>
      </w:r>
      <w:r>
        <w:rPr>
          <w:rFonts w:ascii="TimesNewRoman" w:hAnsi="TimesNewRoman" w:cs="TimesNewRoman" w:eastAsia="TimesNewRoman"/>
          <w:color w:val="000000"/>
          <w:sz w:val="27"/>
        </w:rPr>
      </w:r>
      <w:r/>
    </w:p>
    <w:p>
      <w:pPr>
        <w:pStyle w:val="825"/>
        <w:contextualSpacing/>
        <w:ind w:left="0" w:right="0" w:firstLine="567"/>
        <w:jc w:val="both"/>
        <w:spacing w:before="0" w:after="0" w:line="240" w:lineRule="auto"/>
        <w:shd w:val="clear" w:color="auto" w:fill="ffffff"/>
        <w:tabs>
          <w:tab w:val="left" w:pos="284" w:leader="none"/>
        </w:tabs>
        <w:rPr>
          <w:rFonts w:ascii="TimesNewRoman" w:hAnsi="TimesNewRoman" w:cs="TimesNewRoman" w:eastAsia="TimesNew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NewRoman" w:hAnsi="TimesNewRoman" w:cs="TimesNewRoman" w:eastAsia="TimesNewRoman"/>
          <w:color w:val="000000"/>
          <w:spacing w:val="0"/>
          <w:position w:val="0"/>
          <w:sz w:val="27"/>
        </w:rPr>
        <w:t xml:space="preserve">Основным механизмом оценки эффективности и результативности профилактических мероприятий является увеличение количества профилактических мероприятий и как следствие снижение количества нарушений обязательных требований. </w:t>
      </w:r>
      <w:r>
        <w:rPr>
          <w:rFonts w:ascii="TimesNewRoman" w:hAnsi="TimesNewRoman" w:cs="TimesNewRoman" w:eastAsia="TimesNewRoman"/>
          <w:color w:val="000000"/>
          <w:sz w:val="27"/>
        </w:rPr>
      </w:r>
      <w:r/>
    </w:p>
    <w:p>
      <w:pPr>
        <w:pStyle w:val="632"/>
        <w:ind w:firstLine="0"/>
        <w:jc w:val="left"/>
        <w:spacing w:before="0" w:after="0" w:line="240" w:lineRule="auto"/>
        <w:shd w:val="clear" w:color="auto" w:fill="ffffff"/>
        <w:rPr>
          <w:rFonts w:ascii="TimesNewRoman" w:hAnsi="TimesNewRoman" w:cs="TimesNewRoman" w:eastAsia="TimesNew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NewRoman" w:hAnsi="TimesNewRoman" w:cs="TimesNewRoman" w:eastAsia="TimesNewRoman"/>
          <w:color w:val="000000"/>
          <w:sz w:val="27"/>
        </w:rPr>
      </w:r>
      <w:r>
        <w:rPr>
          <w:rFonts w:ascii="TimesNewRoman" w:hAnsi="TimesNewRoman" w:cs="TimesNewRoman" w:eastAsia="TimesNewRoman"/>
          <w:color w:val="000000"/>
          <w:sz w:val="27"/>
        </w:rPr>
      </w:r>
      <w:r/>
    </w:p>
    <w:p>
      <w:pPr>
        <w:contextualSpacing/>
        <w:jc w:val="center"/>
        <w:rPr>
          <w:rFonts w:ascii="TimesNewRoman" w:hAnsi="TimesNewRoman" w:cs="TimesNewRoman" w:eastAsia="TimesNewRoman"/>
        </w:rPr>
      </w:pPr>
      <w:r>
        <w:rPr>
          <w:rFonts w:ascii="TimesNewRoman" w:hAnsi="TimesNewRoman" w:cs="TimesNewRoman" w:eastAsia="TimesNewRoman"/>
        </w:rPr>
      </w:r>
      <w:r>
        <w:rPr>
          <w:rFonts w:ascii="TimesNewRoman" w:hAnsi="TimesNewRoman" w:cs="TimesNewRoman" w:eastAsia="TimesNewRoman"/>
        </w:rPr>
      </w:r>
      <w:r/>
    </w:p>
    <w:p>
      <w:pPr>
        <w:contextualSpacing/>
        <w:jc w:val="center"/>
        <w:rPr>
          <w:rFonts w:ascii="TimesNewRoman" w:hAnsi="TimesNewRoman" w:cs="TimesNewRoman" w:eastAsia="TimesNewRoman"/>
        </w:rPr>
      </w:pPr>
      <w:r>
        <w:rPr>
          <w:rFonts w:ascii="TimesNewRoman" w:hAnsi="TimesNewRoman" w:cs="TimesNewRoman" w:eastAsia="TimesNewRoman"/>
        </w:rPr>
      </w:r>
      <w:r>
        <w:rPr>
          <w:rFonts w:ascii="TimesNewRoman" w:hAnsi="TimesNewRoman" w:cs="TimesNewRoman" w:eastAsia="TimesNewRoman"/>
        </w:rPr>
      </w:r>
      <w:r/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NewRoman">
    <w:panose1 w:val="02020603050405020304"/>
  </w:font>
  <w:font w:name="Symbol">
    <w:panose1 w:val="05050102010706020507"/>
  </w:font>
  <w:font w:name="Courier New">
    <w:panose1 w:val="02070309020205020404"/>
  </w:font>
  <w:font w:name="Arial">
    <w:panose1 w:val="020B0604020202020204"/>
  </w:font>
  <w:font w:name="Times New Roman">
    <w:panose1 w:val="02020603050405020304"/>
  </w:font>
  <w:font w:name="Wingdings">
    <w:panose1 w:val="05000000000000000000"/>
  </w:font>
  <w:font w:name="CourierNew">
    <w:panose1 w:val="02070309020205020404"/>
  </w:font>
  <w:font w:name="PT Sans">
    <w:panose1 w:val="020B0503020203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76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996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16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36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56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76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596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16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36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927" w:hanging="360"/>
      </w:pPr>
      <w:rPr>
        <w:sz w:val="20"/>
      </w:r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927" w:hanging="360"/>
      </w:pPr>
      <w:rPr>
        <w:sz w:val="20"/>
      </w:r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927" w:hanging="360"/>
      </w:pPr>
      <w:rPr>
        <w:sz w:val="20"/>
      </w:r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76" w:hanging="360"/>
      </w:pPr>
      <w:rPr>
        <w:rFonts w:ascii="Arial" w:hAnsi="Arial" w:cs="Arial" w:eastAsia="Arial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ascii="Courier New" w:hAnsi="Courier New" w:cs="Courier New" w:eastAsia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ascii="Wingdings" w:hAnsi="Wingdings" w:cs="Wingdings" w:eastAsia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ascii="Symbol" w:hAnsi="Symbol" w:cs="Symbol" w:eastAsia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ascii="Courier New" w:hAnsi="Courier New" w:cs="Courier New" w:eastAsia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ascii="Wingdings" w:hAnsi="Wingdings" w:cs="Wingdings" w:eastAsia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ascii="Symbol" w:hAnsi="Symbol" w:cs="Symbol" w:eastAsia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ascii="Courier New" w:hAnsi="Courier New" w:cs="Courier New" w:eastAsia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ascii="Wingdings" w:hAnsi="Wingdings" w:cs="Wingdings" w:eastAsia="Wingdings"/>
      </w:r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927" w:hanging="360"/>
      </w:pPr>
      <w:rPr>
        <w:sz w:val="20"/>
      </w:r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76" w:hanging="360"/>
      </w:pPr>
      <w:rPr>
        <w:rFonts w:ascii="Arial" w:hAnsi="Arial" w:cs="Arial" w:eastAsia="Arial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ascii="Courier New" w:hAnsi="Courier New" w:cs="Courier New" w:eastAsia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ascii="Wingdings" w:hAnsi="Wingdings" w:cs="Wingdings" w:eastAsia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ascii="Symbol" w:hAnsi="Symbol" w:cs="Symbol" w:eastAsia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ascii="Courier New" w:hAnsi="Courier New" w:cs="Courier New" w:eastAsia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ascii="Wingdings" w:hAnsi="Wingdings" w:cs="Wingdings" w:eastAsia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ascii="Symbol" w:hAnsi="Symbol" w:cs="Symbol" w:eastAsia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ascii="Courier New" w:hAnsi="Courier New" w:cs="Courier New" w:eastAsia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ascii="Wingdings" w:hAnsi="Wingdings" w:cs="Wingdings" w:eastAsia="Wingdings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76" w:hanging="360"/>
      </w:pPr>
      <w:rPr>
        <w:rFonts w:ascii="Arial" w:hAnsi="Arial" w:cs="Arial" w:eastAsia="Arial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ascii="Courier New" w:hAnsi="Courier New" w:cs="Courier New" w:eastAsia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ascii="Wingdings" w:hAnsi="Wingdings" w:cs="Wingdings" w:eastAsia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ascii="Symbol" w:hAnsi="Symbol" w:cs="Symbol" w:eastAsia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ascii="Courier New" w:hAnsi="Courier New" w:cs="Courier New" w:eastAsia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ascii="Wingdings" w:hAnsi="Wingdings" w:cs="Wingdings" w:eastAsia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ascii="Symbol" w:hAnsi="Symbol" w:cs="Symbol" w:eastAsia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ascii="Courier New" w:hAnsi="Courier New" w:cs="Courier New" w:eastAsia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ascii="Wingdings" w:hAnsi="Wingdings" w:cs="Wingdings" w:eastAsia="Wingdings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5"/>
  </w:num>
  <w:num w:numId="5">
    <w:abstractNumId w:val="1"/>
  </w:num>
  <w:num w:numId="6">
    <w:abstractNumId w:val="7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smallFrac m:val="false"/>
    <m:lMargin m:val="0"/>
    <m:rMargin m:val="0"/>
    <m:defJc m:val="centerGroup"/>
    <m:wrapIndent m:val="1440"/>
    <m:intLim m:val="subSup"/>
    <m:naryLim m:val="undOvr"/>
  </m:mathPr>
  <w:themeFontLang w:eastAsia="zh-CN"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PT Sans" w:hAnsi="PT Sans" w:cs="PT Sans" w:eastAsia="PT Sans" w:hint="default"/>
        <w:sz w:val="22"/>
        <w:szCs w:val="22"/>
        <w:lang w:val="ru-RU" w:bidi="ar-SA" w:eastAsia="en-US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76">
    <w:name w:val="endnote text"/>
    <w:basedOn w:val="632"/>
    <w:link w:val="177"/>
    <w:uiPriority w:val="99"/>
    <w:semiHidden/>
    <w:unhideWhenUsed/>
    <w:pPr>
      <w:spacing w:after="0" w:line="240" w:lineRule="auto"/>
    </w:pPr>
    <w:rPr>
      <w:sz w:val="20"/>
    </w:rPr>
  </w:style>
  <w:style w:type="character" w:styleId="177">
    <w:name w:val="Endnote Text Char"/>
    <w:link w:val="176"/>
    <w:uiPriority w:val="99"/>
    <w:rPr>
      <w:sz w:val="20"/>
    </w:rPr>
  </w:style>
  <w:style w:type="character" w:styleId="178">
    <w:name w:val="endnote reference"/>
    <w:basedOn w:val="642"/>
    <w:uiPriority w:val="99"/>
    <w:semiHidden/>
    <w:unhideWhenUsed/>
    <w:rPr>
      <w:vertAlign w:val="superscript"/>
    </w:rPr>
  </w:style>
  <w:style w:type="paragraph" w:styleId="189">
    <w:name w:val="table of figures"/>
    <w:basedOn w:val="632"/>
    <w:next w:val="632"/>
    <w:uiPriority w:val="99"/>
    <w:unhideWhenUsed/>
    <w:pPr>
      <w:spacing w:after="0" w:afterAutospacing="0"/>
    </w:pPr>
  </w:style>
  <w:style w:type="paragraph" w:styleId="632" w:default="1">
    <w:name w:val="Normal"/>
    <w:pPr>
      <w:spacing w:after="0" w:line="240" w:lineRule="auto"/>
    </w:pPr>
    <w:rPr>
      <w:rFonts w:ascii="Times New Roman" w:hAnsi="Times New Roman" w:cs="Times New Roman" w:eastAsia="Times New Roman"/>
      <w:sz w:val="20"/>
      <w:lang w:eastAsia="ru-RU"/>
    </w:rPr>
  </w:style>
  <w:style w:type="paragraph" w:styleId="633">
    <w:name w:val="Heading 1"/>
    <w:basedOn w:val="632"/>
    <w:next w:val="632"/>
    <w:link w:val="661"/>
    <w:uiPriority w:val="9"/>
    <w:qFormat/>
    <w:pPr>
      <w:keepLines/>
      <w:keepNext/>
      <w:spacing w:before="480"/>
      <w:outlineLvl w:val="0"/>
    </w:pPr>
    <w:rPr>
      <w:rFonts w:ascii="Arial" w:hAnsi="Arial" w:cs="Arial" w:eastAsia="Arial"/>
      <w:sz w:val="40"/>
      <w:szCs w:val="40"/>
    </w:rPr>
  </w:style>
  <w:style w:type="paragraph" w:styleId="634">
    <w:name w:val="Heading 2"/>
    <w:basedOn w:val="632"/>
    <w:next w:val="632"/>
    <w:link w:val="662"/>
    <w:uiPriority w:val="9"/>
    <w:unhideWhenUsed/>
    <w:qFormat/>
    <w:pPr>
      <w:keepLines/>
      <w:keepNext/>
      <w:spacing w:before="360"/>
      <w:outlineLvl w:val="1"/>
    </w:pPr>
    <w:rPr>
      <w:rFonts w:ascii="Arial" w:hAnsi="Arial" w:cs="Arial" w:eastAsia="Arial"/>
      <w:sz w:val="34"/>
    </w:rPr>
  </w:style>
  <w:style w:type="paragraph" w:styleId="635">
    <w:name w:val="Heading 3"/>
    <w:basedOn w:val="632"/>
    <w:next w:val="632"/>
    <w:link w:val="663"/>
    <w:uiPriority w:val="9"/>
    <w:unhideWhenUsed/>
    <w:qFormat/>
    <w:pPr>
      <w:keepLines/>
      <w:keepNext/>
      <w:spacing w:before="320"/>
      <w:outlineLvl w:val="2"/>
    </w:pPr>
    <w:rPr>
      <w:rFonts w:ascii="Arial" w:hAnsi="Arial" w:cs="Arial" w:eastAsia="Arial"/>
      <w:sz w:val="30"/>
      <w:szCs w:val="30"/>
    </w:rPr>
  </w:style>
  <w:style w:type="paragraph" w:styleId="636">
    <w:name w:val="Heading 4"/>
    <w:basedOn w:val="632"/>
    <w:next w:val="632"/>
    <w:link w:val="664"/>
    <w:uiPriority w:val="9"/>
    <w:unhideWhenUsed/>
    <w:qFormat/>
    <w:pPr>
      <w:keepLines/>
      <w:keepNext/>
      <w:spacing w:before="320"/>
      <w:outlineLvl w:val="3"/>
    </w:pPr>
    <w:rPr>
      <w:rFonts w:ascii="Arial" w:hAnsi="Arial" w:cs="Arial" w:eastAsia="Arial"/>
      <w:b/>
      <w:bCs/>
      <w:sz w:val="26"/>
      <w:szCs w:val="26"/>
    </w:rPr>
  </w:style>
  <w:style w:type="paragraph" w:styleId="637">
    <w:name w:val="Heading 5"/>
    <w:basedOn w:val="632"/>
    <w:next w:val="632"/>
    <w:link w:val="665"/>
    <w:uiPriority w:val="9"/>
    <w:unhideWhenUsed/>
    <w:qFormat/>
    <w:pPr>
      <w:keepLines/>
      <w:keepNext/>
      <w:spacing w:before="320"/>
      <w:outlineLvl w:val="4"/>
    </w:pPr>
    <w:rPr>
      <w:rFonts w:ascii="Arial" w:hAnsi="Arial" w:cs="Arial" w:eastAsia="Arial"/>
      <w:b/>
      <w:bCs/>
      <w:sz w:val="24"/>
      <w:szCs w:val="24"/>
    </w:rPr>
  </w:style>
  <w:style w:type="paragraph" w:styleId="638">
    <w:name w:val="Heading 6"/>
    <w:basedOn w:val="632"/>
    <w:next w:val="632"/>
    <w:link w:val="666"/>
    <w:uiPriority w:val="9"/>
    <w:unhideWhenUsed/>
    <w:qFormat/>
    <w:pPr>
      <w:keepLines/>
      <w:keepNext/>
      <w:spacing w:before="320"/>
      <w:outlineLvl w:val="5"/>
    </w:pPr>
    <w:rPr>
      <w:rFonts w:ascii="Arial" w:hAnsi="Arial" w:cs="Arial" w:eastAsia="Arial"/>
      <w:b/>
      <w:bCs/>
    </w:rPr>
  </w:style>
  <w:style w:type="paragraph" w:styleId="639">
    <w:name w:val="Heading 7"/>
    <w:basedOn w:val="632"/>
    <w:next w:val="632"/>
    <w:link w:val="667"/>
    <w:uiPriority w:val="9"/>
    <w:unhideWhenUsed/>
    <w:qFormat/>
    <w:pPr>
      <w:keepLines/>
      <w:keepNext/>
      <w:spacing w:before="320"/>
      <w:outlineLvl w:val="6"/>
    </w:pPr>
    <w:rPr>
      <w:rFonts w:ascii="Arial" w:hAnsi="Arial" w:cs="Arial" w:eastAsia="Arial"/>
      <w:b/>
      <w:bCs/>
      <w:i/>
      <w:iCs/>
    </w:rPr>
  </w:style>
  <w:style w:type="paragraph" w:styleId="640">
    <w:name w:val="Heading 8"/>
    <w:basedOn w:val="632"/>
    <w:next w:val="632"/>
    <w:link w:val="668"/>
    <w:uiPriority w:val="9"/>
    <w:unhideWhenUsed/>
    <w:qFormat/>
    <w:pPr>
      <w:keepLines/>
      <w:keepNext/>
      <w:spacing w:before="320"/>
      <w:outlineLvl w:val="7"/>
    </w:pPr>
    <w:rPr>
      <w:rFonts w:ascii="Arial" w:hAnsi="Arial" w:cs="Arial" w:eastAsia="Arial"/>
      <w:i/>
      <w:iCs/>
    </w:rPr>
  </w:style>
  <w:style w:type="paragraph" w:styleId="641">
    <w:name w:val="Heading 9"/>
    <w:basedOn w:val="632"/>
    <w:next w:val="632"/>
    <w:link w:val="669"/>
    <w:uiPriority w:val="9"/>
    <w:unhideWhenUsed/>
    <w:qFormat/>
    <w:pPr>
      <w:keepLines/>
      <w:keepNext/>
      <w:spacing w:before="320"/>
      <w:outlineLvl w:val="8"/>
    </w:pPr>
    <w:rPr>
      <w:rFonts w:ascii="Arial" w:hAnsi="Arial" w:cs="Arial" w:eastAsia="Arial"/>
      <w:i/>
      <w:iCs/>
      <w:sz w:val="21"/>
      <w:szCs w:val="21"/>
    </w:rPr>
  </w:style>
  <w:style w:type="character" w:styleId="642" w:default="1">
    <w:name w:val="Default Paragraph Font"/>
    <w:uiPriority w:val="1"/>
    <w:semiHidden/>
    <w:unhideWhenUsed/>
  </w:style>
  <w:style w:type="table" w:styleId="64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44" w:default="1">
    <w:name w:val="No List"/>
    <w:uiPriority w:val="99"/>
    <w:semiHidden/>
    <w:unhideWhenUsed/>
  </w:style>
  <w:style w:type="character" w:styleId="645" w:customStyle="1">
    <w:name w:val="Heading 1 Char"/>
    <w:basedOn w:val="642"/>
    <w:uiPriority w:val="9"/>
    <w:rPr>
      <w:rFonts w:ascii="Arial" w:hAnsi="Arial" w:cs="Arial" w:eastAsia="Arial"/>
      <w:sz w:val="40"/>
      <w:szCs w:val="40"/>
    </w:rPr>
  </w:style>
  <w:style w:type="character" w:styleId="646" w:customStyle="1">
    <w:name w:val="Heading 2 Char"/>
    <w:basedOn w:val="642"/>
    <w:uiPriority w:val="9"/>
    <w:rPr>
      <w:rFonts w:ascii="Arial" w:hAnsi="Arial" w:cs="Arial" w:eastAsia="Arial"/>
      <w:sz w:val="34"/>
    </w:rPr>
  </w:style>
  <w:style w:type="character" w:styleId="647" w:customStyle="1">
    <w:name w:val="Heading 3 Char"/>
    <w:basedOn w:val="642"/>
    <w:uiPriority w:val="9"/>
    <w:rPr>
      <w:rFonts w:ascii="Arial" w:hAnsi="Arial" w:cs="Arial" w:eastAsia="Arial"/>
      <w:sz w:val="30"/>
      <w:szCs w:val="30"/>
    </w:rPr>
  </w:style>
  <w:style w:type="character" w:styleId="648" w:customStyle="1">
    <w:name w:val="Heading 4 Char"/>
    <w:basedOn w:val="642"/>
    <w:uiPriority w:val="9"/>
    <w:rPr>
      <w:rFonts w:ascii="Arial" w:hAnsi="Arial" w:cs="Arial" w:eastAsia="Arial"/>
      <w:b/>
      <w:bCs/>
      <w:sz w:val="26"/>
      <w:szCs w:val="26"/>
    </w:rPr>
  </w:style>
  <w:style w:type="character" w:styleId="649" w:customStyle="1">
    <w:name w:val="Heading 5 Char"/>
    <w:basedOn w:val="642"/>
    <w:uiPriority w:val="9"/>
    <w:rPr>
      <w:rFonts w:ascii="Arial" w:hAnsi="Arial" w:cs="Arial" w:eastAsia="Arial"/>
      <w:b/>
      <w:bCs/>
      <w:sz w:val="24"/>
      <w:szCs w:val="24"/>
    </w:rPr>
  </w:style>
  <w:style w:type="character" w:styleId="650" w:customStyle="1">
    <w:name w:val="Heading 6 Char"/>
    <w:basedOn w:val="642"/>
    <w:uiPriority w:val="9"/>
    <w:rPr>
      <w:rFonts w:ascii="Arial" w:hAnsi="Arial" w:cs="Arial" w:eastAsia="Arial"/>
      <w:b/>
      <w:bCs/>
      <w:sz w:val="22"/>
      <w:szCs w:val="22"/>
    </w:rPr>
  </w:style>
  <w:style w:type="character" w:styleId="651" w:customStyle="1">
    <w:name w:val="Heading 7 Char"/>
    <w:basedOn w:val="642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character" w:styleId="652" w:customStyle="1">
    <w:name w:val="Heading 8 Char"/>
    <w:basedOn w:val="642"/>
    <w:uiPriority w:val="9"/>
    <w:rPr>
      <w:rFonts w:ascii="Arial" w:hAnsi="Arial" w:cs="Arial" w:eastAsia="Arial"/>
      <w:i/>
      <w:iCs/>
      <w:sz w:val="22"/>
      <w:szCs w:val="22"/>
    </w:rPr>
  </w:style>
  <w:style w:type="character" w:styleId="653" w:customStyle="1">
    <w:name w:val="Heading 9 Char"/>
    <w:basedOn w:val="642"/>
    <w:uiPriority w:val="9"/>
    <w:rPr>
      <w:rFonts w:ascii="Arial" w:hAnsi="Arial" w:cs="Arial" w:eastAsia="Arial"/>
      <w:i/>
      <w:iCs/>
      <w:sz w:val="21"/>
      <w:szCs w:val="21"/>
    </w:rPr>
  </w:style>
  <w:style w:type="character" w:styleId="654" w:customStyle="1">
    <w:name w:val="Title Char"/>
    <w:basedOn w:val="642"/>
    <w:uiPriority w:val="10"/>
    <w:rPr>
      <w:sz w:val="48"/>
      <w:szCs w:val="48"/>
    </w:rPr>
  </w:style>
  <w:style w:type="character" w:styleId="655" w:customStyle="1">
    <w:name w:val="Subtitle Char"/>
    <w:basedOn w:val="642"/>
    <w:uiPriority w:val="11"/>
    <w:rPr>
      <w:sz w:val="24"/>
      <w:szCs w:val="24"/>
    </w:rPr>
  </w:style>
  <w:style w:type="character" w:styleId="656" w:customStyle="1">
    <w:name w:val="Quote Char"/>
    <w:uiPriority w:val="29"/>
    <w:rPr>
      <w:i/>
    </w:rPr>
  </w:style>
  <w:style w:type="character" w:styleId="657" w:customStyle="1">
    <w:name w:val="Intense Quote Char"/>
    <w:uiPriority w:val="30"/>
    <w:rPr>
      <w:i/>
    </w:rPr>
  </w:style>
  <w:style w:type="character" w:styleId="658" w:customStyle="1">
    <w:name w:val="Header Char"/>
    <w:basedOn w:val="642"/>
    <w:uiPriority w:val="99"/>
  </w:style>
  <w:style w:type="character" w:styleId="659" w:customStyle="1">
    <w:name w:val="Caption Char"/>
    <w:uiPriority w:val="99"/>
  </w:style>
  <w:style w:type="character" w:styleId="660" w:customStyle="1">
    <w:name w:val="Footnote Text Char"/>
    <w:uiPriority w:val="99"/>
    <w:rPr>
      <w:sz w:val="18"/>
    </w:rPr>
  </w:style>
  <w:style w:type="character" w:styleId="661" w:customStyle="1">
    <w:name w:val="Заголовок 1 Знак"/>
    <w:link w:val="633"/>
    <w:uiPriority w:val="9"/>
    <w:rPr>
      <w:rFonts w:ascii="Arial" w:hAnsi="Arial" w:cs="Arial" w:eastAsia="Arial"/>
      <w:sz w:val="40"/>
      <w:szCs w:val="40"/>
    </w:rPr>
  </w:style>
  <w:style w:type="character" w:styleId="662" w:customStyle="1">
    <w:name w:val="Заголовок 2 Знак"/>
    <w:link w:val="634"/>
    <w:uiPriority w:val="9"/>
    <w:rPr>
      <w:rFonts w:ascii="Arial" w:hAnsi="Arial" w:cs="Arial" w:eastAsia="Arial"/>
      <w:sz w:val="34"/>
    </w:rPr>
  </w:style>
  <w:style w:type="character" w:styleId="663" w:customStyle="1">
    <w:name w:val="Заголовок 3 Знак"/>
    <w:link w:val="635"/>
    <w:uiPriority w:val="9"/>
    <w:rPr>
      <w:rFonts w:ascii="Arial" w:hAnsi="Arial" w:cs="Arial" w:eastAsia="Arial"/>
      <w:sz w:val="30"/>
      <w:szCs w:val="30"/>
    </w:rPr>
  </w:style>
  <w:style w:type="character" w:styleId="664" w:customStyle="1">
    <w:name w:val="Заголовок 4 Знак"/>
    <w:link w:val="636"/>
    <w:uiPriority w:val="9"/>
    <w:rPr>
      <w:rFonts w:ascii="Arial" w:hAnsi="Arial" w:cs="Arial" w:eastAsia="Arial"/>
      <w:b/>
      <w:bCs/>
      <w:sz w:val="26"/>
      <w:szCs w:val="26"/>
    </w:rPr>
  </w:style>
  <w:style w:type="character" w:styleId="665" w:customStyle="1">
    <w:name w:val="Заголовок 5 Знак"/>
    <w:link w:val="637"/>
    <w:uiPriority w:val="9"/>
    <w:rPr>
      <w:rFonts w:ascii="Arial" w:hAnsi="Arial" w:cs="Arial" w:eastAsia="Arial"/>
      <w:b/>
      <w:bCs/>
      <w:sz w:val="24"/>
      <w:szCs w:val="24"/>
    </w:rPr>
  </w:style>
  <w:style w:type="character" w:styleId="666" w:customStyle="1">
    <w:name w:val="Заголовок 6 Знак"/>
    <w:link w:val="638"/>
    <w:uiPriority w:val="9"/>
    <w:rPr>
      <w:rFonts w:ascii="Arial" w:hAnsi="Arial" w:cs="Arial" w:eastAsia="Arial"/>
      <w:b/>
      <w:bCs/>
      <w:sz w:val="22"/>
      <w:szCs w:val="22"/>
    </w:rPr>
  </w:style>
  <w:style w:type="character" w:styleId="667" w:customStyle="1">
    <w:name w:val="Заголовок 7 Знак"/>
    <w:link w:val="639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character" w:styleId="668" w:customStyle="1">
    <w:name w:val="Заголовок 8 Знак"/>
    <w:link w:val="640"/>
    <w:uiPriority w:val="9"/>
    <w:rPr>
      <w:rFonts w:ascii="Arial" w:hAnsi="Arial" w:cs="Arial" w:eastAsia="Arial"/>
      <w:i/>
      <w:iCs/>
      <w:sz w:val="22"/>
      <w:szCs w:val="22"/>
    </w:rPr>
  </w:style>
  <w:style w:type="character" w:styleId="669" w:customStyle="1">
    <w:name w:val="Заголовок 9 Знак"/>
    <w:link w:val="641"/>
    <w:uiPriority w:val="9"/>
    <w:rPr>
      <w:rFonts w:ascii="Arial" w:hAnsi="Arial" w:cs="Arial" w:eastAsia="Arial"/>
      <w:i/>
      <w:iCs/>
      <w:sz w:val="21"/>
      <w:szCs w:val="21"/>
    </w:rPr>
  </w:style>
  <w:style w:type="paragraph" w:styleId="670">
    <w:name w:val="Title"/>
    <w:basedOn w:val="632"/>
    <w:next w:val="632"/>
    <w:link w:val="671"/>
    <w:uiPriority w:val="10"/>
    <w:qFormat/>
    <w:pPr>
      <w:contextualSpacing/>
      <w:spacing w:before="300"/>
    </w:pPr>
    <w:rPr>
      <w:sz w:val="48"/>
      <w:szCs w:val="48"/>
    </w:rPr>
  </w:style>
  <w:style w:type="character" w:styleId="671" w:customStyle="1">
    <w:name w:val="Название Знак"/>
    <w:link w:val="670"/>
    <w:uiPriority w:val="10"/>
    <w:rPr>
      <w:sz w:val="48"/>
      <w:szCs w:val="48"/>
    </w:rPr>
  </w:style>
  <w:style w:type="paragraph" w:styleId="672">
    <w:name w:val="Subtitle"/>
    <w:basedOn w:val="632"/>
    <w:next w:val="632"/>
    <w:link w:val="673"/>
    <w:uiPriority w:val="11"/>
    <w:qFormat/>
    <w:pPr>
      <w:spacing w:before="200"/>
    </w:pPr>
    <w:rPr>
      <w:sz w:val="24"/>
      <w:szCs w:val="24"/>
    </w:rPr>
  </w:style>
  <w:style w:type="character" w:styleId="673" w:customStyle="1">
    <w:name w:val="Подзаголовок Знак"/>
    <w:link w:val="672"/>
    <w:uiPriority w:val="11"/>
    <w:rPr>
      <w:sz w:val="24"/>
      <w:szCs w:val="24"/>
    </w:rPr>
  </w:style>
  <w:style w:type="paragraph" w:styleId="674">
    <w:name w:val="Quote"/>
    <w:basedOn w:val="632"/>
    <w:next w:val="632"/>
    <w:link w:val="675"/>
    <w:uiPriority w:val="29"/>
    <w:qFormat/>
    <w:pPr>
      <w:ind w:left="720" w:right="720"/>
    </w:pPr>
    <w:rPr>
      <w:i/>
    </w:rPr>
  </w:style>
  <w:style w:type="character" w:styleId="675" w:customStyle="1">
    <w:name w:val="Цитата 2 Знак"/>
    <w:link w:val="674"/>
    <w:uiPriority w:val="29"/>
    <w:rPr>
      <w:i/>
    </w:rPr>
  </w:style>
  <w:style w:type="paragraph" w:styleId="676">
    <w:name w:val="Intense Quote"/>
    <w:basedOn w:val="632"/>
    <w:next w:val="632"/>
    <w:link w:val="677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77" w:customStyle="1">
    <w:name w:val="Выделенная цитата Знак"/>
    <w:link w:val="676"/>
    <w:uiPriority w:val="30"/>
    <w:rPr>
      <w:i/>
    </w:rPr>
  </w:style>
  <w:style w:type="paragraph" w:styleId="678">
    <w:name w:val="Header"/>
    <w:basedOn w:val="632"/>
    <w:link w:val="679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679" w:customStyle="1">
    <w:name w:val="Верхний колонтитул Знак"/>
    <w:link w:val="678"/>
    <w:uiPriority w:val="99"/>
  </w:style>
  <w:style w:type="paragraph" w:styleId="680">
    <w:name w:val="Footer"/>
    <w:basedOn w:val="632"/>
    <w:link w:val="683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681" w:customStyle="1">
    <w:name w:val="Footer Char"/>
    <w:uiPriority w:val="99"/>
  </w:style>
  <w:style w:type="paragraph" w:styleId="682">
    <w:name w:val="Caption"/>
    <w:basedOn w:val="632"/>
    <w:next w:val="632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styleId="683" w:customStyle="1">
    <w:name w:val="Нижний колонтитул Знак"/>
    <w:link w:val="680"/>
    <w:uiPriority w:val="99"/>
  </w:style>
  <w:style w:type="table" w:styleId="684">
    <w:name w:val="Table Grid"/>
    <w:basedOn w:val="643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685" w:customStyle="1">
    <w:name w:val="Table Grid Light"/>
    <w:basedOn w:val="643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686">
    <w:name w:val="Plain Table 1"/>
    <w:basedOn w:val="643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auto" w:fill="f2f2f2" w:themeFill="text1" w:themeFillTint="0D"/>
      </w:tcPr>
    </w:tblStylePr>
    <w:tblStylePr w:type="band1Vert">
      <w:tcPr>
        <w:shd w:val="clear" w:color="auto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87">
    <w:name w:val="Plain Table 2"/>
    <w:basedOn w:val="643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88">
    <w:name w:val="Plain Table 3"/>
    <w:basedOn w:val="64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89">
    <w:name w:val="Plain Table 4"/>
    <w:basedOn w:val="64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0">
    <w:name w:val="Plain Table 5"/>
    <w:basedOn w:val="64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auto" w:fill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auto" w:fill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1">
    <w:name w:val="Grid Table 1 Light"/>
    <w:basedOn w:val="643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2" w:customStyle="1">
    <w:name w:val="Grid Table 1 Light - Accent 1"/>
    <w:basedOn w:val="643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3" w:customStyle="1">
    <w:name w:val="Grid Table 1 Light - Accent 2"/>
    <w:basedOn w:val="64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 w:customStyle="1">
    <w:name w:val="Grid Table 1 Light - Accent 3"/>
    <w:basedOn w:val="643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 w:customStyle="1">
    <w:name w:val="Grid Table 1 Light - Accent 4"/>
    <w:basedOn w:val="64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 w:customStyle="1">
    <w:name w:val="Grid Table 1 Light - Accent 5"/>
    <w:basedOn w:val="643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 w:customStyle="1">
    <w:name w:val="Grid Table 1 Light - Accent 6"/>
    <w:basedOn w:val="643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2"/>
    <w:basedOn w:val="64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9" w:customStyle="1">
    <w:name w:val="Grid Table 2 - Accent 1"/>
    <w:basedOn w:val="64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dea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0" w:customStyle="1">
    <w:name w:val="Grid Table 2 - Accent 2"/>
    <w:basedOn w:val="64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1" w:customStyle="1">
    <w:name w:val="Grid Table 2 - Accent 3"/>
    <w:basedOn w:val="64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2" w:customStyle="1">
    <w:name w:val="Grid Table 2 - Accent 4"/>
    <w:basedOn w:val="64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 w:customStyle="1">
    <w:name w:val="Grid Table 2 - Accent 5"/>
    <w:basedOn w:val="64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 w:customStyle="1">
    <w:name w:val="Grid Table 2 - Accent 6"/>
    <w:basedOn w:val="64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3"/>
    <w:basedOn w:val="64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 w:customStyle="1">
    <w:name w:val="Grid Table 3 - Accent 1"/>
    <w:basedOn w:val="64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dea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 w:customStyle="1">
    <w:name w:val="Grid Table 3 - Accent 2"/>
    <w:basedOn w:val="64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 w:customStyle="1">
    <w:name w:val="Grid Table 3 - Accent 3"/>
    <w:basedOn w:val="64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 w:customStyle="1">
    <w:name w:val="Grid Table 3 - Accent 4"/>
    <w:basedOn w:val="64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 w:customStyle="1">
    <w:name w:val="Grid Table 3 - Accent 5"/>
    <w:basedOn w:val="64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8e2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 w:customStyle="1">
    <w:name w:val="Grid Table 3 - Accent 6"/>
    <w:basedOn w:val="64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4"/>
    <w:basedOn w:val="643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3" w:customStyle="1">
    <w:name w:val="Grid Table 4 - Accent 1"/>
    <w:basedOn w:val="643"/>
    <w:uiPriority w:val="5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de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e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68a2d8" w:themeFill="accent1" w:themeFillTint="EA"/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68A2D8" w:themeColor="accent1" w:themeTint="EA" w:sz="4" w:space="0"/>
        </w:tcBorders>
      </w:tcPr>
    </w:tblStylePr>
  </w:style>
  <w:style w:type="table" w:styleId="714" w:customStyle="1">
    <w:name w:val="Grid Table 4 - Accent 2"/>
    <w:basedOn w:val="643"/>
    <w:uiPriority w:val="5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715" w:customStyle="1">
    <w:name w:val="Grid Table 4 - Accent 3"/>
    <w:basedOn w:val="643"/>
    <w:uiPriority w:val="5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716" w:customStyle="1">
    <w:name w:val="Grid Table 4 - Accent 4"/>
    <w:basedOn w:val="643"/>
    <w:uiPriority w:val="5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717" w:customStyle="1">
    <w:name w:val="Grid Table 4 - Accent 5"/>
    <w:basedOn w:val="643"/>
    <w:uiPriority w:val="5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</w:tcBorders>
      </w:tcPr>
    </w:tblStylePr>
  </w:style>
  <w:style w:type="table" w:styleId="718" w:customStyle="1">
    <w:name w:val="Grid Table 4 - Accent 6"/>
    <w:basedOn w:val="643"/>
    <w:uiPriority w:val="5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719">
    <w:name w:val="Grid Table 5 Dark"/>
    <w:basedOn w:val="64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bfbfbf" w:themeFill="text1" w:themeFillTint="40"/>
    </w:tblPr>
    <w:tblStylePr w:type="band1Horz">
      <w:tcPr>
        <w:shd w:val="clear" w:color="auto" w:fill="8a8a8a" w:themeFill="text1" w:themeFillTint="75"/>
      </w:tcPr>
    </w:tblStylePr>
    <w:tblStylePr w:type="band1Vert">
      <w:tcPr>
        <w:shd w:val="clear" w:color="auto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000000" w:themeFill="text1"/>
        <w:tcBorders>
          <w:top w:val="single" w:color="FFFFFF" w:themeColor="light1" w:sz="4" w:space="0"/>
        </w:tcBorders>
      </w:tcPr>
    </w:tblStylePr>
  </w:style>
  <w:style w:type="table" w:styleId="720" w:customStyle="1">
    <w:name w:val="Grid Table 5 Dark- Accent 1"/>
    <w:basedOn w:val="64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ddeaf6" w:themeFill="accent1" w:themeFillTint="34"/>
    </w:tblPr>
    <w:tblStylePr w:type="band1Horz">
      <w:tcPr>
        <w:shd w:val="clear" w:color="auto" w:fill="b3d0eb" w:themeFill="accent1" w:themeFillTint="75"/>
      </w:tcPr>
    </w:tblStylePr>
    <w:tblStylePr w:type="band1Vert">
      <w:tcPr>
        <w:shd w:val="clear" w:color="auto" w:fill="b3d0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5b9bd5" w:themeFill="accent1"/>
        <w:tcBorders>
          <w:top w:val="single" w:color="FFFFFF" w:themeColor="light1" w:sz="4" w:space="0"/>
        </w:tcBorders>
      </w:tcPr>
    </w:tblStylePr>
  </w:style>
  <w:style w:type="table" w:styleId="721" w:customStyle="1">
    <w:name w:val="Grid Table 5 Dark - Accent 2"/>
    <w:basedOn w:val="64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fbe5d6" w:themeFill="accent2" w:themeFillTint="32"/>
    </w:tblPr>
    <w:tblStylePr w:type="band1Horz">
      <w:tcPr>
        <w:shd w:val="clear" w:color="auto" w:fill="f6c3a0" w:themeFill="accent2" w:themeFillTint="75"/>
      </w:tcPr>
    </w:tblStylePr>
    <w:tblStylePr w:type="band1Vert">
      <w:tcPr>
        <w:shd w:val="clear" w:color="auto" w:fill="f6c3a0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ed7d31" w:themeFill="accent2"/>
        <w:tcBorders>
          <w:top w:val="single" w:color="FFFFFF" w:themeColor="light1" w:sz="4" w:space="0"/>
        </w:tcBorders>
      </w:tcPr>
    </w:tblStylePr>
  </w:style>
  <w:style w:type="table" w:styleId="722" w:customStyle="1">
    <w:name w:val="Grid Table 5 Dark - Accent 3"/>
    <w:basedOn w:val="64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ececec" w:themeFill="accent3" w:themeFillTint="34"/>
    </w:tblPr>
    <w:tblStylePr w:type="band1Horz">
      <w:tcPr>
        <w:shd w:val="clear" w:color="auto" w:fill="d5d5d5" w:themeFill="accent3" w:themeFillTint="75"/>
      </w:tcPr>
    </w:tblStylePr>
    <w:tblStylePr w:type="band1Vert">
      <w:tcPr>
        <w:shd w:val="clear" w:color="auto" w:fill="d5d5d5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a5a5a5" w:themeFill="accent3"/>
        <w:tcBorders>
          <w:top w:val="single" w:color="FFFFFF" w:themeColor="light1" w:sz="4" w:space="0"/>
        </w:tcBorders>
      </w:tcPr>
    </w:tblStylePr>
  </w:style>
  <w:style w:type="table" w:styleId="723" w:customStyle="1">
    <w:name w:val="Grid Table 5 Dark- Accent 4"/>
    <w:basedOn w:val="64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fff2cb" w:themeFill="accent4" w:themeFillTint="34"/>
    </w:tblPr>
    <w:tblStylePr w:type="band1Horz">
      <w:tcPr>
        <w:shd w:val="clear" w:color="auto" w:fill="ffe28a" w:themeFill="accent4" w:themeFillTint="75"/>
      </w:tcPr>
    </w:tblStylePr>
    <w:tblStylePr w:type="band1Vert">
      <w:tcPr>
        <w:shd w:val="clear" w:color="auto" w:fill="ffe28a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c000" w:themeFill="accent4"/>
        <w:tcBorders>
          <w:top w:val="single" w:color="FFFFFF" w:themeColor="light1" w:sz="4" w:space="0"/>
        </w:tcBorders>
      </w:tcPr>
    </w:tblStylePr>
  </w:style>
  <w:style w:type="table" w:styleId="724" w:customStyle="1">
    <w:name w:val="Grid Table 5 Dark - Accent 5"/>
    <w:basedOn w:val="64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d8e2f3" w:themeFill="accent5" w:themeFillTint="34"/>
    </w:tblPr>
    <w:tblStylePr w:type="band1Horz">
      <w:tcPr>
        <w:shd w:val="clear" w:color="auto" w:fill="a9bee4" w:themeFill="accent5" w:themeFillTint="75"/>
      </w:tcPr>
    </w:tblStylePr>
    <w:tblStylePr w:type="band1Vert">
      <w:tcPr>
        <w:shd w:val="clear" w:color="auto" w:fill="a9be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4472c4" w:themeFill="accent5"/>
        <w:tcBorders>
          <w:top w:val="single" w:color="FFFFFF" w:themeColor="light1" w:sz="4" w:space="0"/>
        </w:tcBorders>
      </w:tcPr>
    </w:tblStylePr>
  </w:style>
  <w:style w:type="table" w:styleId="725" w:customStyle="1">
    <w:name w:val="Grid Table 5 Dark - Accent 6"/>
    <w:basedOn w:val="64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e1efd8" w:themeFill="accent6" w:themeFillTint="34"/>
    </w:tblPr>
    <w:tblStylePr w:type="band1Horz">
      <w:tcPr>
        <w:shd w:val="clear" w:color="auto" w:fill="bcdba8" w:themeFill="accent6" w:themeFillTint="75"/>
      </w:tcPr>
    </w:tblStylePr>
    <w:tblStylePr w:type="band1Vert">
      <w:tcPr>
        <w:shd w:val="clear" w:color="auto" w:fill="bc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70ad47" w:themeFill="accent6"/>
        <w:tcBorders>
          <w:top w:val="single" w:color="FFFFFF" w:themeColor="light1" w:sz="4" w:space="0"/>
        </w:tcBorders>
      </w:tcPr>
    </w:tblStylePr>
  </w:style>
  <w:style w:type="table" w:styleId="726">
    <w:name w:val="Grid Table 6 Colorful"/>
    <w:basedOn w:val="643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auto" w:fill="cbcbcb" w:themeFill="text1" w:themeFillTint="34"/>
      </w:tcPr>
    </w:tblStylePr>
    <w:tblStylePr w:type="band1Vert"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27" w:customStyle="1">
    <w:name w:val="Grid Table 6 Colorful - Accent 1"/>
    <w:basedOn w:val="643"/>
    <w:uiPriority w:val="99"/>
    <w:pPr>
      <w:spacing w:after="0" w:line="240" w:lineRule="auto"/>
    </w:pPr>
    <w:tblPr>
      <w:tblStyleRowBandSize w:val="1"/>
      <w:tblStyleColBandSize w:val="1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auto" w:fill="ddeaf6" w:themeFill="accent1" w:themeFillTint="34"/>
      </w:tcPr>
    </w:tblStylePr>
    <w:tblStylePr w:type="band1Vert">
      <w:tcPr>
        <w:shd w:val="clear" w:color="auto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b/>
        <w:color w:val="ACCCEA" w:themeColor="accent1" w:themeTint="80" w:themeShade="95"/>
      </w:rPr>
    </w:tblStylePr>
    <w:tblStylePr w:type="firstRow">
      <w:rPr>
        <w:b/>
        <w:color w:val="ACCCEA" w:themeColor="accent1" w:themeTint="80" w:themeShade="95"/>
      </w:r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 w:themeShade="95"/>
      </w:rPr>
    </w:tblStylePr>
    <w:tblStylePr w:type="lastRow">
      <w:rPr>
        <w:b/>
        <w:color w:val="ACCCEA" w:themeColor="accent1" w:themeTint="80" w:themeShade="95"/>
      </w:rPr>
    </w:tblStylePr>
  </w:style>
  <w:style w:type="table" w:styleId="728" w:customStyle="1">
    <w:name w:val="Grid Table 6 Colorful - Accent 2"/>
    <w:basedOn w:val="64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auto" w:fill="fbe5d6" w:themeFill="accent2" w:themeFillTint="32"/>
      </w:tcPr>
    </w:tblStylePr>
    <w:tblStylePr w:type="band1Vert">
      <w:tcPr>
        <w:shd w:val="clear" w:color="auto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729" w:customStyle="1">
    <w:name w:val="Grid Table 6 Colorful - Accent 3"/>
    <w:basedOn w:val="643"/>
    <w:uiPriority w:val="99"/>
    <w:pPr>
      <w:spacing w:after="0" w:line="240" w:lineRule="auto"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auto" w:fill="ececec" w:themeFill="accent3" w:themeFillTint="34"/>
      </w:tcPr>
    </w:tblStylePr>
    <w:tblStylePr w:type="band1Vert">
      <w:tcPr>
        <w:shd w:val="clear" w:color="auto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730" w:customStyle="1">
    <w:name w:val="Grid Table 6 Colorful - Accent 4"/>
    <w:basedOn w:val="64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auto" w:fill="fff2cb" w:themeFill="accent4" w:themeFillTint="34"/>
      </w:tcPr>
    </w:tblStylePr>
    <w:tblStylePr w:type="band1Vert">
      <w:tcPr>
        <w:shd w:val="clear" w:color="auto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731" w:customStyle="1">
    <w:name w:val="Grid Table 6 Colorful - Accent 5"/>
    <w:basedOn w:val="643"/>
    <w:uiPriority w:val="99"/>
    <w:pPr>
      <w:spacing w:after="0" w:line="240" w:lineRule="auto"/>
    </w:pPr>
    <w:tblPr>
      <w:tblStyleRowBandSize w:val="1"/>
      <w:tblStyleColBandSize w:val="1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auto" w:fill="d8e2f3" w:themeFill="accent5" w:themeFillTint="34"/>
      </w:tcPr>
    </w:tblStylePr>
    <w:tblStylePr w:type="band1Vert">
      <w:tcPr>
        <w:shd w:val="clear" w:color="auto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732" w:customStyle="1">
    <w:name w:val="Grid Table 6 Colorful - Accent 6"/>
    <w:basedOn w:val="643"/>
    <w:uiPriority w:val="99"/>
    <w:pPr>
      <w:spacing w:after="0" w:line="240" w:lineRule="auto"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auto" w:fill="e1efd8" w:themeFill="accent6" w:themeFillTint="34"/>
      </w:tcPr>
    </w:tblStylePr>
    <w:tblStylePr w:type="band1Vert">
      <w:tcPr>
        <w:shd w:val="clear" w:color="auto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733">
    <w:name w:val="Grid Table 7 Colorful"/>
    <w:basedOn w:val="64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auto" w:fill="f2f2f2" w:themeFill="text1" w:themeFillTint="0D"/>
      </w:tcPr>
    </w:tblStylePr>
    <w:tblStylePr w:type="band1Vert"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auto" w:fill="ffffff"/>
        <w:tcBorders>
          <w:top w:val="none" w:color="auto" w:sz="0" w:space="0"/>
          <w:left w:val="none" w:color="auto" w:sz="0" w:space="0"/>
          <w:bottom w:val="none" w:color="auto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auto" w:fill="ffffff" w:themeFill="light1"/>
        <w:tcBorders>
          <w:top w:val="none" w:color="auto" w:sz="0" w:space="0"/>
          <w:left w:val="none" w:color="auto" w:sz="0" w:space="0"/>
          <w:bottom w:val="single" w:color="7F7F7F" w:themeColor="text1" w:themeTint="80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auto" w:fill="ffffff"/>
        <w:tcBorders>
          <w:top w:val="none" w:color="auto" w:sz="0" w:space="0"/>
          <w:left w:val="single" w:color="7F7F7F" w:themeColor="text1" w:themeTint="80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auto" w:fill="ffffff" w:themeFill="light1"/>
        <w:tcBorders>
          <w:top w:val="single" w:color="7F7F7F" w:themeColor="text1" w:themeTint="80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734" w:customStyle="1">
    <w:name w:val="Grid Table 7 Colorful - Accent 1"/>
    <w:basedOn w:val="64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auto" w:fill="ddeaf6" w:themeFill="accent1" w:themeFillTint="34"/>
      </w:tcPr>
    </w:tblStylePr>
    <w:tblStylePr w:type="band1Vert">
      <w:tcPr>
        <w:shd w:val="clear" w:color="auto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jc w:val="right"/>
      </w:pPr>
      <w:tcPr>
        <w:shd w:val="clear" w:color="auto" w:fill="ffffff"/>
        <w:tcBorders>
          <w:top w:val="none" w:color="auto" w:sz="0" w:space="0"/>
          <w:left w:val="none" w:color="auto" w:sz="0" w:space="0"/>
          <w:bottom w:val="none" w:color="auto" w:sz="0" w:space="0"/>
          <w:right w:val="single" w:color="ACCCEA" w:themeColor="accent1" w:themeTint="80" w:sz="4" w:space="0"/>
        </w:tcBorders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tcPr>
        <w:shd w:val="clear" w:color="auto" w:fill="ffffff" w:themeFill="light1"/>
        <w:tcBorders>
          <w:top w:val="none" w:color="auto" w:sz="0" w:space="0"/>
          <w:left w:val="none" w:color="auto" w:sz="0" w:space="0"/>
          <w:bottom w:val="single" w:color="ACCCEA" w:themeColor="accent1" w:themeTint="80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cPr>
        <w:shd w:val="clear" w:color="auto" w:fill="ffffff"/>
        <w:tcBorders>
          <w:top w:val="none" w:color="auto" w:sz="0" w:space="0"/>
          <w:left w:val="single" w:color="ACCCEA" w:themeColor="accent1" w:themeTint="80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cPr>
        <w:shd w:val="clear" w:color="auto" w:fill="ffffff" w:themeFill="light1"/>
        <w:tcBorders>
          <w:top w:val="single" w:color="ACCCEA" w:themeColor="accent1" w:themeTint="80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735" w:customStyle="1">
    <w:name w:val="Grid Table 7 Colorful - Accent 2"/>
    <w:basedOn w:val="64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auto" w:fill="fbe5d6" w:themeFill="accent2" w:themeFillTint="32"/>
      </w:tcPr>
    </w:tblStylePr>
    <w:tblStylePr w:type="band1Vert">
      <w:tcPr>
        <w:shd w:val="clear" w:color="auto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auto" w:fill="ffffff"/>
        <w:tcBorders>
          <w:top w:val="none" w:color="auto" w:sz="0" w:space="0"/>
          <w:left w:val="none" w:color="auto" w:sz="0" w:space="0"/>
          <w:bottom w:val="none" w:color="auto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tcPr>
        <w:shd w:val="clear" w:color="auto" w:fill="ffffff" w:themeFill="light1"/>
        <w:tcBorders>
          <w:top w:val="none" w:color="auto" w:sz="0" w:space="0"/>
          <w:left w:val="none" w:color="auto" w:sz="0" w:space="0"/>
          <w:bottom w:val="single" w:color="F4B184" w:themeColor="accent2" w:themeTint="97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auto" w:fill="ffffff"/>
        <w:tcBorders>
          <w:top w:val="none" w:color="auto" w:sz="0" w:space="0"/>
          <w:left w:val="single" w:color="F4B184" w:themeColor="accent2" w:themeTint="97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cPr>
        <w:shd w:val="clear" w:color="auto" w:fill="ffffff" w:themeFill="light1"/>
        <w:tcBorders>
          <w:top w:val="single" w:color="F4B184" w:themeColor="accent2" w:themeTint="97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736" w:customStyle="1">
    <w:name w:val="Grid Table 7 Colorful - Accent 3"/>
    <w:basedOn w:val="64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auto" w:fill="ececec" w:themeFill="accent3" w:themeFillTint="34"/>
      </w:tcPr>
    </w:tblStylePr>
    <w:tblStylePr w:type="band1Vert">
      <w:tcPr>
        <w:shd w:val="clear" w:color="auto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jc w:val="right"/>
      </w:pPr>
      <w:tcPr>
        <w:shd w:val="clear" w:color="auto" w:fill="ffffff"/>
        <w:tcBorders>
          <w:top w:val="none" w:color="auto" w:sz="0" w:space="0"/>
          <w:left w:val="none" w:color="auto" w:sz="0" w:space="0"/>
          <w:bottom w:val="none" w:color="auto" w:sz="0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tcPr>
        <w:shd w:val="clear" w:color="auto" w:fill="ffffff" w:themeFill="light1"/>
        <w:tcBorders>
          <w:top w:val="none" w:color="auto" w:sz="0" w:space="0"/>
          <w:left w:val="none" w:color="auto" w:sz="0" w:space="0"/>
          <w:bottom w:val="single" w:color="A5A5A5" w:themeColor="accent3" w:themeTint="FE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cPr>
        <w:shd w:val="clear" w:color="auto" w:fill="ffffff"/>
        <w:tcBorders>
          <w:top w:val="none" w:color="auto" w:sz="0" w:space="0"/>
          <w:left w:val="single" w:color="A5A5A5" w:themeColor="accent3" w:themeTint="FE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cPr>
        <w:shd w:val="clear" w:color="auto" w:fill="ffffff" w:themeFill="light1"/>
        <w:tcBorders>
          <w:top w:val="single" w:color="A5A5A5" w:themeColor="accent3" w:themeTint="FE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737" w:customStyle="1">
    <w:name w:val="Grid Table 7 Colorful - Accent 4"/>
    <w:basedOn w:val="64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auto" w:fill="fff2cb" w:themeFill="accent4" w:themeFillTint="34"/>
      </w:tcPr>
    </w:tblStylePr>
    <w:tblStylePr w:type="band1Vert">
      <w:tcPr>
        <w:shd w:val="clear" w:color="auto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auto" w:fill="ffffff"/>
        <w:tcBorders>
          <w:top w:val="none" w:color="auto" w:sz="0" w:space="0"/>
          <w:left w:val="none" w:color="auto" w:sz="0" w:space="0"/>
          <w:bottom w:val="none" w:color="auto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tcPr>
        <w:shd w:val="clear" w:color="auto" w:fill="ffffff" w:themeFill="light1"/>
        <w:tcBorders>
          <w:top w:val="none" w:color="auto" w:sz="0" w:space="0"/>
          <w:left w:val="none" w:color="auto" w:sz="0" w:space="0"/>
          <w:bottom w:val="single" w:color="FFD865" w:themeColor="accent4" w:themeTint="9A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auto" w:fill="ffffff"/>
        <w:tcBorders>
          <w:top w:val="none" w:color="auto" w:sz="0" w:space="0"/>
          <w:left w:val="single" w:color="FFD865" w:themeColor="accent4" w:themeTint="9A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cPr>
        <w:shd w:val="clear" w:color="auto" w:fill="ffffff" w:themeFill="light1"/>
        <w:tcBorders>
          <w:top w:val="single" w:color="FFD865" w:themeColor="accent4" w:themeTint="9A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738" w:customStyle="1">
    <w:name w:val="Grid Table 7 Colorful - Accent 5"/>
    <w:basedOn w:val="64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auto" w:fill="d8e2f3" w:themeFill="accent5" w:themeFillTint="34"/>
      </w:tcPr>
    </w:tblStylePr>
    <w:tblStylePr w:type="band1Vert">
      <w:tcPr>
        <w:shd w:val="clear" w:color="auto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jc w:val="right"/>
      </w:pPr>
      <w:tcPr>
        <w:shd w:val="clear" w:color="auto" w:fill="ffffff"/>
        <w:tcBorders>
          <w:top w:val="none" w:color="auto" w:sz="0" w:space="0"/>
          <w:left w:val="none" w:color="auto" w:sz="0" w:space="0"/>
          <w:bottom w:val="none" w:color="auto" w:sz="0" w:space="0"/>
          <w:right w:val="single" w:color="95AFDD" w:themeColor="accent5" w:themeTint="90" w:sz="4" w:space="0"/>
        </w:tcBorders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tcPr>
        <w:shd w:val="clear" w:color="auto" w:fill="ffffff" w:themeFill="light1"/>
        <w:tcBorders>
          <w:top w:val="none" w:color="auto" w:sz="0" w:space="0"/>
          <w:left w:val="none" w:color="auto" w:sz="0" w:space="0"/>
          <w:bottom w:val="single" w:color="95AFDD" w:themeColor="accent5" w:themeTint="90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cPr>
        <w:shd w:val="clear" w:color="auto" w:fill="ffffff"/>
        <w:tcBorders>
          <w:top w:val="none" w:color="auto" w:sz="0" w:space="0"/>
          <w:left w:val="single" w:color="95AFDD" w:themeColor="accent5" w:themeTint="90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cPr>
        <w:shd w:val="clear" w:color="auto" w:fill="ffffff" w:themeFill="light1"/>
        <w:tcBorders>
          <w:top w:val="single" w:color="95AFDD" w:themeColor="accent5" w:themeTint="90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739" w:customStyle="1">
    <w:name w:val="Grid Table 7 Colorful - Accent 6"/>
    <w:basedOn w:val="64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16429" w:themeColor="accent6" w:themeShade="95"/>
        <w:sz w:val="22"/>
      </w:rPr>
      <w:tcPr>
        <w:shd w:val="clear" w:color="auto" w:fill="e1efd8" w:themeFill="accent6" w:themeFillTint="34"/>
      </w:tcPr>
    </w:tblStylePr>
    <w:tblStylePr w:type="band1Vert">
      <w:tcPr>
        <w:shd w:val="clear" w:color="auto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jc w:val="right"/>
      </w:pPr>
      <w:tcPr>
        <w:shd w:val="clear" w:color="auto" w:fill="ffffff"/>
        <w:tcBorders>
          <w:top w:val="none" w:color="auto" w:sz="0" w:space="0"/>
          <w:left w:val="none" w:color="auto" w:sz="0" w:space="0"/>
          <w:bottom w:val="none" w:color="auto" w:sz="0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tcPr>
        <w:shd w:val="clear" w:color="auto" w:fill="ffffff" w:themeFill="light1"/>
        <w:tcBorders>
          <w:top w:val="none" w:color="auto" w:sz="0" w:space="0"/>
          <w:left w:val="none" w:color="auto" w:sz="0" w:space="0"/>
          <w:bottom w:val="single" w:color="ADD394" w:themeColor="accent6" w:themeTint="90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cPr>
        <w:shd w:val="clear" w:color="auto" w:fill="ffffff"/>
        <w:tcBorders>
          <w:top w:val="none" w:color="auto" w:sz="0" w:space="0"/>
          <w:left w:val="single" w:color="ADD394" w:themeColor="accent6" w:themeTint="90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cPr>
        <w:shd w:val="clear" w:color="auto" w:fill="ffffff" w:themeFill="light1"/>
        <w:tcBorders>
          <w:top w:val="single" w:color="ADD394" w:themeColor="accent6" w:themeTint="90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740">
    <w:name w:val="List Table 1 Light"/>
    <w:basedOn w:val="64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auto" w:fill="bfbfbf" w:themeFill="text1" w:themeFillTint="40"/>
      </w:tcPr>
    </w:tblStylePr>
    <w:tblStylePr w:type="band1Vert">
      <w:tcPr>
        <w:shd w:val="clear" w:color="auto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 w:customStyle="1">
    <w:name w:val="List Table 1 Light - Accent 1"/>
    <w:basedOn w:val="64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auto" w:fill="d5e5f4" w:themeFill="accent1" w:themeFillTint="40"/>
      </w:tcPr>
    </w:tblStylePr>
    <w:tblStylePr w:type="band1Vert">
      <w:tcPr>
        <w:shd w:val="clear" w:color="auto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 w:customStyle="1">
    <w:name w:val="List Table 1 Light - Accent 2"/>
    <w:basedOn w:val="64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auto" w:fill="fadecb" w:themeFill="accent2" w:themeFillTint="40"/>
      </w:tcPr>
    </w:tblStylePr>
    <w:tblStylePr w:type="band1Vert">
      <w:tcPr>
        <w:shd w:val="clear" w:color="auto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 w:customStyle="1">
    <w:name w:val="List Table 1 Light - Accent 3"/>
    <w:basedOn w:val="64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auto" w:fill="e8e8e8" w:themeFill="accent3" w:themeFillTint="40"/>
      </w:tcPr>
    </w:tblStylePr>
    <w:tblStylePr w:type="band1Vert">
      <w:tcPr>
        <w:shd w:val="clear" w:color="auto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 w:customStyle="1">
    <w:name w:val="List Table 1 Light - Accent 4"/>
    <w:basedOn w:val="64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auto" w:fill="ffefbf" w:themeFill="accent4" w:themeFillTint="40"/>
      </w:tcPr>
    </w:tblStylePr>
    <w:tblStylePr w:type="band1Vert">
      <w:tcPr>
        <w:shd w:val="clear" w:color="auto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 w:customStyle="1">
    <w:name w:val="List Table 1 Light - Accent 5"/>
    <w:basedOn w:val="64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auto" w:fill="cfdbf0" w:themeFill="accent5" w:themeFillTint="40"/>
      </w:tcPr>
    </w:tblStylePr>
    <w:tblStylePr w:type="band1Vert">
      <w:tcPr>
        <w:shd w:val="clear" w:color="auto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 w:customStyle="1">
    <w:name w:val="List Table 1 Light - Accent 6"/>
    <w:basedOn w:val="64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auto" w:fill="daebcf" w:themeFill="accent6" w:themeFillTint="40"/>
      </w:tcPr>
    </w:tblStylePr>
    <w:tblStylePr w:type="band1Vert">
      <w:tcPr>
        <w:shd w:val="clear" w:color="auto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2"/>
    <w:basedOn w:val="643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48" w:customStyle="1">
    <w:name w:val="List Table 2 - Accent 1"/>
    <w:basedOn w:val="643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5e5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</w:style>
  <w:style w:type="table" w:styleId="749" w:customStyle="1">
    <w:name w:val="List Table 2 - Accent 2"/>
    <w:basedOn w:val="64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750" w:customStyle="1">
    <w:name w:val="List Table 2 - Accent 3"/>
    <w:basedOn w:val="643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751" w:customStyle="1">
    <w:name w:val="List Table 2 - Accent 4"/>
    <w:basedOn w:val="64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752" w:customStyle="1">
    <w:name w:val="List Table 2 - Accent 5"/>
    <w:basedOn w:val="643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cfdb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</w:style>
  <w:style w:type="table" w:styleId="753" w:customStyle="1">
    <w:name w:val="List Table 2 - Accent 6"/>
    <w:basedOn w:val="643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aebc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754">
    <w:name w:val="List Table 3"/>
    <w:basedOn w:val="64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5" w:customStyle="1">
    <w:name w:val="List Table 3 - Accent 1"/>
    <w:basedOn w:val="643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6" w:customStyle="1">
    <w:name w:val="List Table 3 - Accent 2"/>
    <w:basedOn w:val="64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 w:customStyle="1">
    <w:name w:val="List Table 3 - Accent 3"/>
    <w:basedOn w:val="643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 w:customStyle="1">
    <w:name w:val="List Table 3 - Accent 4"/>
    <w:basedOn w:val="64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 w:customStyle="1">
    <w:name w:val="List Table 3 - Accent 5"/>
    <w:basedOn w:val="643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8da9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 w:customStyle="1">
    <w:name w:val="List Table 3 - Accent 6"/>
    <w:basedOn w:val="643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4"/>
    <w:basedOn w:val="64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 w:customStyle="1">
    <w:name w:val="List Table 4 - Accent 1"/>
    <w:basedOn w:val="643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 w:customStyle="1">
    <w:name w:val="List Table 4 - Accent 2"/>
    <w:basedOn w:val="64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 w:customStyle="1">
    <w:name w:val="List Table 4 - Accent 3"/>
    <w:basedOn w:val="643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 w:customStyle="1">
    <w:name w:val="List Table 4 - Accent 4"/>
    <w:basedOn w:val="64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 w:customStyle="1">
    <w:name w:val="List Table 4 - Accent 5"/>
    <w:basedOn w:val="643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 w:customStyle="1">
    <w:name w:val="List Table 4 - Accent 6"/>
    <w:basedOn w:val="643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5 Dark"/>
    <w:basedOn w:val="643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auto" w:fill="7f7f7f" w:themeFill="text1" w:themeFillTint="80"/>
    </w:tblPr>
    <w:tblStylePr w:type="band1Horz">
      <w:tcPr>
        <w:shd w:val="clear" w:color="auto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uto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uto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69" w:customStyle="1">
    <w:name w:val="List Table 5 Dark - Accent 1"/>
    <w:basedOn w:val="643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auto" w:fill="5b9bd5" w:themeFill="accent1"/>
    </w:tblPr>
    <w:tblStylePr w:type="band1Horz">
      <w:tcPr>
        <w:shd w:val="clear" w:color="auto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uto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uto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70" w:customStyle="1">
    <w:name w:val="List Table 5 Dark - Accent 2"/>
    <w:basedOn w:val="64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auto" w:fill="f4b184" w:themeFill="accent2" w:themeFillTint="97"/>
    </w:tblPr>
    <w:tblStylePr w:type="band1Horz">
      <w:tcPr>
        <w:shd w:val="clear" w:color="auto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uto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uto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71" w:customStyle="1">
    <w:name w:val="List Table 5 Dark - Accent 3"/>
    <w:basedOn w:val="643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auto" w:fill="c9c9c9" w:themeFill="accent3" w:themeFillTint="98"/>
    </w:tblPr>
    <w:tblStylePr w:type="band1Horz">
      <w:tcPr>
        <w:shd w:val="clear" w:color="auto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uto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uto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72" w:customStyle="1">
    <w:name w:val="List Table 5 Dark - Accent 4"/>
    <w:basedOn w:val="64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auto" w:fill="ffd865" w:themeFill="accent4" w:themeFillTint="9A"/>
    </w:tblPr>
    <w:tblStylePr w:type="band1Horz">
      <w:tcPr>
        <w:shd w:val="clear" w:color="auto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uto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uto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73" w:customStyle="1">
    <w:name w:val="List Table 5 Dark - Accent 5"/>
    <w:basedOn w:val="643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auto" w:fill="8da9db" w:themeFill="accent5" w:themeFillTint="9A"/>
    </w:tblPr>
    <w:tblStylePr w:type="band1Horz">
      <w:tcPr>
        <w:shd w:val="clear" w:color="auto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uto" w:fill="8d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uto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8da9db" w:themeFill="accent5" w:themeFillTint="9A"/>
        <w:tcBorders>
          <w:top w:val="single" w:color="8DA9DB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74" w:customStyle="1">
    <w:name w:val="List Table 5 Dark - Accent 6"/>
    <w:basedOn w:val="643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uto" w:fill="a9d08e" w:themeFill="accent6" w:themeFillTint="98"/>
    </w:tblPr>
    <w:tblStylePr w:type="band1Horz">
      <w:tcPr>
        <w:shd w:val="clear" w:color="auto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uto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uto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75">
    <w:name w:val="List Table 6 Colorful"/>
    <w:basedOn w:val="643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auto" w:fill="bfbfbf" w:themeFill="text1" w:themeFillTint="40"/>
      </w:tcPr>
    </w:tblStylePr>
    <w:tblStylePr w:type="band1Vert"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776" w:customStyle="1">
    <w:name w:val="List Table 6 Colorful - Accent 1"/>
    <w:basedOn w:val="643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4" w:space="0"/>
        <w:bottom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auto" w:fill="d5e5f4" w:themeFill="accent1" w:themeFillTint="40"/>
      </w:tcPr>
    </w:tblStylePr>
    <w:tblStylePr w:type="band1Vert">
      <w:tcPr>
        <w:shd w:val="clear" w:color="auto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b/>
        <w:color w:val="245A8D" w:themeColor="accent1" w:themeShade="95"/>
      </w:rPr>
    </w:tblStylePr>
    <w:tblStylePr w:type="firstRow">
      <w:rPr>
        <w:b/>
        <w:color w:val="245A8D" w:themeColor="accent1" w:themeShade="95"/>
      </w:r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</w:tblStylePr>
    <w:tblStylePr w:type="lastRow">
      <w:rPr>
        <w:b/>
        <w:color w:val="245A8D" w:themeColor="accent1" w:themeShade="95"/>
      </w:rPr>
      <w:tcPr>
        <w:tcBorders>
          <w:top w:val="single" w:color="5B9BD5" w:themeColor="accent1" w:sz="4" w:space="0"/>
        </w:tcBorders>
      </w:tcPr>
    </w:tblStylePr>
  </w:style>
  <w:style w:type="table" w:styleId="777" w:customStyle="1">
    <w:name w:val="List Table 6 Colorful - Accent 2"/>
    <w:basedOn w:val="64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auto" w:fill="fadecb" w:themeFill="accent2" w:themeFillTint="40"/>
      </w:tcPr>
    </w:tblStylePr>
    <w:tblStylePr w:type="band1Vert">
      <w:tcPr>
        <w:shd w:val="clear" w:color="auto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themeTint="97" w:sz="4" w:space="0"/>
        </w:tcBorders>
      </w:tcPr>
    </w:tblStylePr>
  </w:style>
  <w:style w:type="table" w:styleId="778" w:customStyle="1">
    <w:name w:val="List Table 6 Colorful - Accent 3"/>
    <w:basedOn w:val="643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auto" w:fill="e8e8e8" w:themeFill="accent3" w:themeFillTint="40"/>
      </w:tcPr>
    </w:tblStylePr>
    <w:tblStylePr w:type="band1Vert">
      <w:tcPr>
        <w:shd w:val="clear" w:color="auto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themeTint="98" w:sz="4" w:space="0"/>
        </w:tcBorders>
      </w:tcPr>
    </w:tblStylePr>
  </w:style>
  <w:style w:type="table" w:styleId="779" w:customStyle="1">
    <w:name w:val="List Table 6 Colorful - Accent 4"/>
    <w:basedOn w:val="64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auto" w:fill="ffefbf" w:themeFill="accent4" w:themeFillTint="40"/>
      </w:tcPr>
    </w:tblStylePr>
    <w:tblStylePr w:type="band1Vert">
      <w:tcPr>
        <w:shd w:val="clear" w:color="auto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themeTint="9A" w:sz="4" w:space="0"/>
        </w:tcBorders>
      </w:tcPr>
    </w:tblStylePr>
  </w:style>
  <w:style w:type="table" w:styleId="780" w:customStyle="1">
    <w:name w:val="List Table 6 Colorful - Accent 5"/>
    <w:basedOn w:val="643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4" w:space="0"/>
        <w:bottom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auto" w:fill="cfdbf0" w:themeFill="accent5" w:themeFillTint="40"/>
      </w:tcPr>
    </w:tblStylePr>
    <w:tblStylePr w:type="band1Vert">
      <w:tcPr>
        <w:shd w:val="clear" w:color="auto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b/>
        <w:color w:val="8DA9DB" w:themeColor="accent5" w:themeTint="9A" w:themeShade="95"/>
      </w:rPr>
    </w:tblStylePr>
    <w:tblStylePr w:type="firstRow">
      <w:rPr>
        <w:b/>
        <w:color w:val="8DA9DB" w:themeColor="accent5" w:themeTint="9A" w:themeShade="95"/>
      </w:r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DA9DB" w:themeColor="accent5" w:themeTint="9A" w:themeShade="95"/>
      </w:rPr>
    </w:tblStylePr>
    <w:tblStylePr w:type="lastRow">
      <w:rPr>
        <w:b/>
        <w:color w:val="8DA9DB" w:themeColor="accent5" w:themeTint="9A" w:themeShade="95"/>
      </w:rPr>
      <w:tcPr>
        <w:tcBorders>
          <w:top w:val="single" w:color="8DA9DB" w:themeColor="accent5" w:themeTint="9A" w:sz="4" w:space="0"/>
        </w:tcBorders>
      </w:tcPr>
    </w:tblStylePr>
  </w:style>
  <w:style w:type="table" w:styleId="781" w:customStyle="1">
    <w:name w:val="List Table 6 Colorful - Accent 6"/>
    <w:basedOn w:val="643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auto" w:fill="daebcf" w:themeFill="accent6" w:themeFillTint="40"/>
      </w:tcPr>
    </w:tblStylePr>
    <w:tblStylePr w:type="band1Vert">
      <w:tcPr>
        <w:shd w:val="clear" w:color="auto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themeTint="98" w:sz="4" w:space="0"/>
        </w:tcBorders>
      </w:tcPr>
    </w:tblStylePr>
  </w:style>
  <w:style w:type="table" w:styleId="782">
    <w:name w:val="List Table 7 Colorful"/>
    <w:basedOn w:val="64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auto" w:fill="bfbfbf" w:themeFill="text1" w:themeFillTint="40"/>
      </w:tcPr>
    </w:tblStylePr>
    <w:tblStylePr w:type="band1Vert"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auto" w:fill="ffffff"/>
        <w:tcBorders>
          <w:top w:val="none" w:color="auto" w:sz="0" w:space="0"/>
          <w:left w:val="none" w:color="auto" w:sz="0" w:space="0"/>
          <w:bottom w:val="none" w:color="auto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auto" w:fill="ffffff" w:themeFill="light1"/>
        <w:tcBorders>
          <w:top w:val="none" w:color="auto" w:sz="0" w:space="0"/>
          <w:left w:val="none" w:color="auto" w:sz="0" w:space="0"/>
          <w:bottom w:val="single" w:color="7F7F7F" w:themeColor="text1" w:themeTint="80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auto" w:fill="ffffff"/>
        <w:tcBorders>
          <w:top w:val="none" w:color="auto" w:sz="0" w:space="0"/>
          <w:left w:val="single" w:color="7F7F7F" w:themeColor="text1" w:themeTint="80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auto" w:fill="ffffff" w:themeFill="light1"/>
        <w:tcBorders>
          <w:top w:val="single" w:color="7F7F7F" w:themeColor="text1" w:themeTint="80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783" w:customStyle="1">
    <w:name w:val="List Table 7 Colorful - Accent 1"/>
    <w:basedOn w:val="64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auto" w:fill="d5e5f4" w:themeFill="accent1" w:themeFillTint="40"/>
      </w:tcPr>
    </w:tblStylePr>
    <w:tblStylePr w:type="band1Vert">
      <w:tcPr>
        <w:shd w:val="clear" w:color="auto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jc w:val="right"/>
      </w:pPr>
      <w:tcPr>
        <w:shd w:val="clear" w:color="auto" w:fill="ffffff"/>
        <w:tcBorders>
          <w:top w:val="none" w:color="auto" w:sz="0" w:space="0"/>
          <w:left w:val="none" w:color="auto" w:sz="0" w:space="0"/>
          <w:bottom w:val="none" w:color="auto" w:sz="0" w:space="0"/>
          <w:right w:val="single" w:color="5B9BD5" w:themeColor="accent1" w:sz="4" w:space="0"/>
        </w:tcBorders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tcPr>
        <w:shd w:val="clear" w:color="auto" w:fill="ffffff" w:themeFill="light1"/>
        <w:tcBorders>
          <w:top w:val="none" w:color="auto" w:sz="0" w:space="0"/>
          <w:left w:val="none" w:color="auto" w:sz="0" w:space="0"/>
          <w:bottom w:val="single" w:color="5B9BD5" w:themeColor="accent1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cPr>
        <w:shd w:val="clear" w:color="auto" w:fill="ffffff"/>
        <w:tcBorders>
          <w:top w:val="none" w:color="auto" w:sz="0" w:space="0"/>
          <w:left w:val="single" w:color="5B9BD5" w:themeColor="accent1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cPr>
        <w:shd w:val="clear" w:color="auto" w:fill="ffffff" w:themeFill="light1"/>
        <w:tcBorders>
          <w:top w:val="single" w:color="5B9BD5" w:themeColor="accent1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784" w:customStyle="1">
    <w:name w:val="List Table 7 Colorful - Accent 2"/>
    <w:basedOn w:val="64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auto" w:fill="fadecb" w:themeFill="accent2" w:themeFillTint="40"/>
      </w:tcPr>
    </w:tblStylePr>
    <w:tblStylePr w:type="band1Vert">
      <w:tcPr>
        <w:shd w:val="clear" w:color="auto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auto" w:fill="ffffff"/>
        <w:tcBorders>
          <w:top w:val="none" w:color="auto" w:sz="0" w:space="0"/>
          <w:left w:val="none" w:color="auto" w:sz="0" w:space="0"/>
          <w:bottom w:val="none" w:color="auto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tcPr>
        <w:shd w:val="clear" w:color="auto" w:fill="ffffff" w:themeFill="light1"/>
        <w:tcBorders>
          <w:top w:val="none" w:color="auto" w:sz="0" w:space="0"/>
          <w:left w:val="none" w:color="auto" w:sz="0" w:space="0"/>
          <w:bottom w:val="single" w:color="F4B184" w:themeColor="accent2" w:themeTint="97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auto" w:fill="ffffff"/>
        <w:tcBorders>
          <w:top w:val="none" w:color="auto" w:sz="0" w:space="0"/>
          <w:left w:val="single" w:color="F4B184" w:themeColor="accent2" w:themeTint="97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cPr>
        <w:shd w:val="clear" w:color="auto" w:fill="ffffff" w:themeFill="light1"/>
        <w:tcBorders>
          <w:top w:val="single" w:color="F4B184" w:themeColor="accent2" w:themeTint="97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785" w:customStyle="1">
    <w:name w:val="List Table 7 Colorful - Accent 3"/>
    <w:basedOn w:val="64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auto" w:fill="e8e8e8" w:themeFill="accent3" w:themeFillTint="40"/>
      </w:tcPr>
    </w:tblStylePr>
    <w:tblStylePr w:type="band1Vert">
      <w:tcPr>
        <w:shd w:val="clear" w:color="auto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jc w:val="right"/>
      </w:pPr>
      <w:tcPr>
        <w:shd w:val="clear" w:color="auto" w:fill="ffffff"/>
        <w:tcBorders>
          <w:top w:val="none" w:color="auto" w:sz="0" w:space="0"/>
          <w:left w:val="none" w:color="auto" w:sz="0" w:space="0"/>
          <w:bottom w:val="none" w:color="auto" w:sz="0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tcPr>
        <w:shd w:val="clear" w:color="auto" w:fill="ffffff" w:themeFill="light1"/>
        <w:tcBorders>
          <w:top w:val="none" w:color="auto" w:sz="0" w:space="0"/>
          <w:left w:val="none" w:color="auto" w:sz="0" w:space="0"/>
          <w:bottom w:val="single" w:color="C9C9C9" w:themeColor="accent3" w:themeTint="98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cPr>
        <w:shd w:val="clear" w:color="auto" w:fill="ffffff"/>
        <w:tcBorders>
          <w:top w:val="none" w:color="auto" w:sz="0" w:space="0"/>
          <w:left w:val="single" w:color="C9C9C9" w:themeColor="accent3" w:themeTint="98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cPr>
        <w:shd w:val="clear" w:color="auto" w:fill="ffffff" w:themeFill="light1"/>
        <w:tcBorders>
          <w:top w:val="single" w:color="C9C9C9" w:themeColor="accent3" w:themeTint="98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786" w:customStyle="1">
    <w:name w:val="List Table 7 Colorful - Accent 4"/>
    <w:basedOn w:val="64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auto" w:fill="ffefbf" w:themeFill="accent4" w:themeFillTint="40"/>
      </w:tcPr>
    </w:tblStylePr>
    <w:tblStylePr w:type="band1Vert">
      <w:tcPr>
        <w:shd w:val="clear" w:color="auto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auto" w:fill="ffffff"/>
        <w:tcBorders>
          <w:top w:val="none" w:color="auto" w:sz="0" w:space="0"/>
          <w:left w:val="none" w:color="auto" w:sz="0" w:space="0"/>
          <w:bottom w:val="none" w:color="auto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tcPr>
        <w:shd w:val="clear" w:color="auto" w:fill="ffffff" w:themeFill="light1"/>
        <w:tcBorders>
          <w:top w:val="none" w:color="auto" w:sz="0" w:space="0"/>
          <w:left w:val="none" w:color="auto" w:sz="0" w:space="0"/>
          <w:bottom w:val="single" w:color="FFD865" w:themeColor="accent4" w:themeTint="9A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auto" w:fill="ffffff"/>
        <w:tcBorders>
          <w:top w:val="none" w:color="auto" w:sz="0" w:space="0"/>
          <w:left w:val="single" w:color="FFD865" w:themeColor="accent4" w:themeTint="9A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cPr>
        <w:shd w:val="clear" w:color="auto" w:fill="ffffff" w:themeFill="light1"/>
        <w:tcBorders>
          <w:top w:val="single" w:color="FFD865" w:themeColor="accent4" w:themeTint="9A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787" w:customStyle="1">
    <w:name w:val="List Table 7 Colorful - Accent 5"/>
    <w:basedOn w:val="64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auto" w:fill="cfdbf0" w:themeFill="accent5" w:themeFillTint="40"/>
      </w:tcPr>
    </w:tblStylePr>
    <w:tblStylePr w:type="band1Vert">
      <w:tcPr>
        <w:shd w:val="clear" w:color="auto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jc w:val="right"/>
      </w:pPr>
      <w:tcPr>
        <w:shd w:val="clear" w:color="auto" w:fill="ffffff"/>
        <w:tcBorders>
          <w:top w:val="none" w:color="auto" w:sz="0" w:space="0"/>
          <w:left w:val="none" w:color="auto" w:sz="0" w:space="0"/>
          <w:bottom w:val="none" w:color="auto" w:sz="0" w:space="0"/>
          <w:right w:val="single" w:color="8DA9DB" w:themeColor="accent5" w:themeTint="9A" w:sz="4" w:space="0"/>
        </w:tcBorders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tcPr>
        <w:shd w:val="clear" w:color="auto" w:fill="ffffff" w:themeFill="light1"/>
        <w:tcBorders>
          <w:top w:val="none" w:color="auto" w:sz="0" w:space="0"/>
          <w:left w:val="none" w:color="auto" w:sz="0" w:space="0"/>
          <w:bottom w:val="single" w:color="8DA9DB" w:themeColor="accent5" w:themeTint="9A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cPr>
        <w:shd w:val="clear" w:color="auto" w:fill="ffffff"/>
        <w:tcBorders>
          <w:top w:val="none" w:color="auto" w:sz="0" w:space="0"/>
          <w:left w:val="single" w:color="8DA9DB" w:themeColor="accent5" w:themeTint="9A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cPr>
        <w:shd w:val="clear" w:color="auto" w:fill="ffffff" w:themeFill="light1"/>
        <w:tcBorders>
          <w:top w:val="single" w:color="8DA9DB" w:themeColor="accent5" w:themeTint="9A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788" w:customStyle="1">
    <w:name w:val="List Table 7 Colorful - Accent 6"/>
    <w:basedOn w:val="64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auto" w:fill="daebcf" w:themeFill="accent6" w:themeFillTint="40"/>
      </w:tcPr>
    </w:tblStylePr>
    <w:tblStylePr w:type="band1Vert">
      <w:tcPr>
        <w:shd w:val="clear" w:color="auto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jc w:val="right"/>
      </w:pPr>
      <w:tcPr>
        <w:shd w:val="clear" w:color="auto" w:fill="ffffff"/>
        <w:tcBorders>
          <w:top w:val="none" w:color="auto" w:sz="0" w:space="0"/>
          <w:left w:val="none" w:color="auto" w:sz="0" w:space="0"/>
          <w:bottom w:val="none" w:color="auto" w:sz="0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tcPr>
        <w:shd w:val="clear" w:color="auto" w:fill="ffffff" w:themeFill="light1"/>
        <w:tcBorders>
          <w:top w:val="none" w:color="auto" w:sz="0" w:space="0"/>
          <w:left w:val="none" w:color="auto" w:sz="0" w:space="0"/>
          <w:bottom w:val="single" w:color="A9D08E" w:themeColor="accent6" w:themeTint="98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cPr>
        <w:shd w:val="clear" w:color="auto" w:fill="ffffff"/>
        <w:tcBorders>
          <w:top w:val="none" w:color="auto" w:sz="0" w:space="0"/>
          <w:left w:val="single" w:color="A9D08E" w:themeColor="accent6" w:themeTint="98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cPr>
        <w:shd w:val="clear" w:color="auto" w:fill="ffffff" w:themeFill="light1"/>
        <w:tcBorders>
          <w:top w:val="single" w:color="A9D08E" w:themeColor="accent6" w:themeTint="98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789" w:customStyle="1">
    <w:name w:val="Lined - Accent"/>
    <w:basedOn w:val="64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</w:style>
  <w:style w:type="table" w:styleId="790" w:customStyle="1">
    <w:name w:val="Lined - Accent 1"/>
    <w:basedOn w:val="64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68a2d8" w:themeFill="accent1" w:themeFillTint="EA"/>
      </w:tcPr>
    </w:tblStylePr>
  </w:style>
  <w:style w:type="table" w:styleId="791" w:customStyle="1">
    <w:name w:val="Lined - Accent 2"/>
    <w:basedOn w:val="64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4b184" w:themeFill="accent2" w:themeFillTint="97"/>
      </w:tcPr>
    </w:tblStylePr>
  </w:style>
  <w:style w:type="table" w:styleId="792" w:customStyle="1">
    <w:name w:val="Lined - Accent 3"/>
    <w:basedOn w:val="64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a5a5a5" w:themeFill="accent3" w:themeFillTint="FE"/>
      </w:tcPr>
    </w:tblStylePr>
  </w:style>
  <w:style w:type="table" w:styleId="793" w:customStyle="1">
    <w:name w:val="Lined - Accent 4"/>
    <w:basedOn w:val="64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d865" w:themeFill="accent4" w:themeFillTint="9A"/>
      </w:tcPr>
    </w:tblStylePr>
  </w:style>
  <w:style w:type="table" w:styleId="794" w:customStyle="1">
    <w:name w:val="Lined - Accent 5"/>
    <w:basedOn w:val="64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4472c4" w:themeFill="accent5"/>
      </w:tcPr>
    </w:tblStylePr>
  </w:style>
  <w:style w:type="table" w:styleId="795" w:customStyle="1">
    <w:name w:val="Lined - Accent 6"/>
    <w:basedOn w:val="64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0ad47" w:themeFill="accent6"/>
      </w:tcPr>
    </w:tblStylePr>
  </w:style>
  <w:style w:type="table" w:styleId="796" w:customStyle="1">
    <w:name w:val="Bordered &amp; Lined - Accent"/>
    <w:basedOn w:val="64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</w:style>
  <w:style w:type="table" w:styleId="797" w:customStyle="1">
    <w:name w:val="Bordered &amp; Lined - Accent 1"/>
    <w:basedOn w:val="64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68a2d8" w:themeFill="accent1" w:themeFillTint="EA"/>
      </w:tcPr>
    </w:tblStylePr>
  </w:style>
  <w:style w:type="table" w:styleId="798" w:customStyle="1">
    <w:name w:val="Bordered &amp; Lined - Accent 2"/>
    <w:basedOn w:val="64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4b184" w:themeFill="accent2" w:themeFillTint="97"/>
      </w:tcPr>
    </w:tblStylePr>
  </w:style>
  <w:style w:type="table" w:styleId="799" w:customStyle="1">
    <w:name w:val="Bordered &amp; Lined - Accent 3"/>
    <w:basedOn w:val="64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a5a5a5" w:themeFill="accent3" w:themeFillTint="FE"/>
      </w:tcPr>
    </w:tblStylePr>
  </w:style>
  <w:style w:type="table" w:styleId="800" w:customStyle="1">
    <w:name w:val="Bordered &amp; Lined - Accent 4"/>
    <w:basedOn w:val="64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d865" w:themeFill="accent4" w:themeFillTint="9A"/>
      </w:tcPr>
    </w:tblStylePr>
  </w:style>
  <w:style w:type="table" w:styleId="801" w:customStyle="1">
    <w:name w:val="Bordered &amp; Lined - Accent 5"/>
    <w:basedOn w:val="64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4472c4" w:themeFill="accent5"/>
      </w:tcPr>
    </w:tblStylePr>
  </w:style>
  <w:style w:type="table" w:styleId="802" w:customStyle="1">
    <w:name w:val="Bordered &amp; Lined - Accent 6"/>
    <w:basedOn w:val="64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0ad47" w:themeFill="accent6"/>
      </w:tcPr>
    </w:tblStylePr>
  </w:style>
  <w:style w:type="table" w:styleId="803" w:customStyle="1">
    <w:name w:val="Bordered"/>
    <w:basedOn w:val="643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04" w:customStyle="1">
    <w:name w:val="Bordered - Accent 1"/>
    <w:basedOn w:val="643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5B9BD5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5B9BD5" w:themeColor="accent1" w:sz="12" w:space="0"/>
        </w:tcBorders>
      </w:tcPr>
    </w:tblStylePr>
  </w:style>
  <w:style w:type="table" w:styleId="805" w:customStyle="1">
    <w:name w:val="Bordered - Accent 2"/>
    <w:basedOn w:val="64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</w:style>
  <w:style w:type="table" w:styleId="806" w:customStyle="1">
    <w:name w:val="Bordered - Accent 3"/>
    <w:basedOn w:val="643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807" w:customStyle="1">
    <w:name w:val="Bordered - Accent 4"/>
    <w:basedOn w:val="64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</w:style>
  <w:style w:type="table" w:styleId="808" w:customStyle="1">
    <w:name w:val="Bordered - Accent 5"/>
    <w:basedOn w:val="643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8DA9DB" w:themeColor="accent5" w:themeTint="9A" w:sz="12" w:space="0"/>
        </w:tcBorders>
      </w:tcPr>
    </w:tblStylePr>
  </w:style>
  <w:style w:type="table" w:styleId="809" w:customStyle="1">
    <w:name w:val="Bordered - Accent 6"/>
    <w:basedOn w:val="643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character" w:styleId="810">
    <w:name w:val="Hyperlink"/>
    <w:uiPriority w:val="99"/>
    <w:unhideWhenUsed/>
    <w:rPr>
      <w:color w:val="0563C1" w:themeColor="hyperlink"/>
      <w:u w:val="single"/>
    </w:rPr>
  </w:style>
  <w:style w:type="paragraph" w:styleId="811">
    <w:name w:val="footnote text"/>
    <w:basedOn w:val="632"/>
    <w:link w:val="812"/>
    <w:uiPriority w:val="99"/>
    <w:semiHidden/>
    <w:unhideWhenUsed/>
    <w:pPr>
      <w:spacing w:after="40"/>
    </w:pPr>
    <w:rPr>
      <w:sz w:val="18"/>
    </w:rPr>
  </w:style>
  <w:style w:type="character" w:styleId="812" w:customStyle="1">
    <w:name w:val="Текст сноски Знак"/>
    <w:link w:val="811"/>
    <w:uiPriority w:val="99"/>
    <w:rPr>
      <w:sz w:val="18"/>
    </w:rPr>
  </w:style>
  <w:style w:type="character" w:styleId="813">
    <w:name w:val="footnote reference"/>
    <w:uiPriority w:val="99"/>
    <w:unhideWhenUsed/>
    <w:rPr>
      <w:vertAlign w:val="superscript"/>
    </w:rPr>
  </w:style>
  <w:style w:type="paragraph" w:styleId="814">
    <w:name w:val="toc 1"/>
    <w:basedOn w:val="632"/>
    <w:next w:val="632"/>
    <w:uiPriority w:val="39"/>
    <w:unhideWhenUsed/>
    <w:pPr>
      <w:spacing w:after="57"/>
    </w:pPr>
  </w:style>
  <w:style w:type="paragraph" w:styleId="815">
    <w:name w:val="toc 2"/>
    <w:basedOn w:val="632"/>
    <w:next w:val="632"/>
    <w:uiPriority w:val="39"/>
    <w:unhideWhenUsed/>
    <w:pPr>
      <w:ind w:left="283"/>
      <w:spacing w:after="57"/>
    </w:pPr>
  </w:style>
  <w:style w:type="paragraph" w:styleId="816">
    <w:name w:val="toc 3"/>
    <w:basedOn w:val="632"/>
    <w:next w:val="632"/>
    <w:uiPriority w:val="39"/>
    <w:unhideWhenUsed/>
    <w:pPr>
      <w:ind w:left="567"/>
      <w:spacing w:after="57"/>
    </w:pPr>
  </w:style>
  <w:style w:type="paragraph" w:styleId="817">
    <w:name w:val="toc 4"/>
    <w:basedOn w:val="632"/>
    <w:next w:val="632"/>
    <w:uiPriority w:val="39"/>
    <w:unhideWhenUsed/>
    <w:pPr>
      <w:ind w:left="850"/>
      <w:spacing w:after="57"/>
    </w:pPr>
  </w:style>
  <w:style w:type="paragraph" w:styleId="818">
    <w:name w:val="toc 5"/>
    <w:basedOn w:val="632"/>
    <w:next w:val="632"/>
    <w:uiPriority w:val="39"/>
    <w:unhideWhenUsed/>
    <w:pPr>
      <w:ind w:left="1134"/>
      <w:spacing w:after="57"/>
    </w:pPr>
  </w:style>
  <w:style w:type="paragraph" w:styleId="819">
    <w:name w:val="toc 6"/>
    <w:basedOn w:val="632"/>
    <w:next w:val="632"/>
    <w:uiPriority w:val="39"/>
    <w:unhideWhenUsed/>
    <w:pPr>
      <w:ind w:left="1417"/>
      <w:spacing w:after="57"/>
    </w:pPr>
  </w:style>
  <w:style w:type="paragraph" w:styleId="820">
    <w:name w:val="toc 7"/>
    <w:basedOn w:val="632"/>
    <w:next w:val="632"/>
    <w:uiPriority w:val="39"/>
    <w:unhideWhenUsed/>
    <w:pPr>
      <w:ind w:left="1701"/>
      <w:spacing w:after="57"/>
    </w:pPr>
  </w:style>
  <w:style w:type="paragraph" w:styleId="821">
    <w:name w:val="toc 8"/>
    <w:basedOn w:val="632"/>
    <w:next w:val="632"/>
    <w:uiPriority w:val="39"/>
    <w:unhideWhenUsed/>
    <w:pPr>
      <w:ind w:left="1984"/>
      <w:spacing w:after="57"/>
    </w:pPr>
  </w:style>
  <w:style w:type="paragraph" w:styleId="822">
    <w:name w:val="toc 9"/>
    <w:basedOn w:val="632"/>
    <w:next w:val="632"/>
    <w:uiPriority w:val="39"/>
    <w:unhideWhenUsed/>
    <w:pPr>
      <w:ind w:left="2268"/>
      <w:spacing w:after="57"/>
    </w:pPr>
  </w:style>
  <w:style w:type="paragraph" w:styleId="823">
    <w:name w:val="TOC Heading"/>
    <w:uiPriority w:val="39"/>
    <w:unhideWhenUsed/>
  </w:style>
  <w:style w:type="paragraph" w:styleId="824">
    <w:name w:val="No Spacing"/>
    <w:basedOn w:val="632"/>
    <w:uiPriority w:val="1"/>
    <w:qFormat/>
  </w:style>
  <w:style w:type="paragraph" w:styleId="825">
    <w:name w:val="List Paragraph"/>
    <w:basedOn w:val="632"/>
    <w:uiPriority w:val="34"/>
    <w:qFormat/>
    <w:pPr>
      <w:contextualSpacing/>
      <w:ind w:left="720"/>
    </w:pPr>
  </w:style>
  <w:style w:type="paragraph" w:styleId="826" w:customStyle="1">
    <w:name w:val="ConsPlusTitle"/>
    <w:pPr>
      <w:spacing w:after="0" w:line="240" w:lineRule="auto"/>
      <w:shd w:val="clear" w:color="auto" w:fill="000000"/>
    </w:pPr>
    <w:rPr>
      <w:rFonts w:ascii="Arial" w:hAnsi="Arial" w:cs="Arial" w:eastAsia="Arial"/>
      <w:b/>
      <w:color w:val="000000"/>
      <w:sz w:val="20"/>
      <w:lang w:val="en-US" w:bidi="en-US"/>
    </w:rPr>
  </w:style>
  <w:style w:type="paragraph" w:styleId="827" w:customStyle="1">
    <w:name w:val="ConsPlusNormal"/>
    <w:pPr>
      <w:spacing w:after="0" w:line="240" w:lineRule="auto"/>
      <w:shd w:val="clear" w:color="auto" w:fill="000000"/>
    </w:pPr>
    <w:rPr>
      <w:rFonts w:ascii="Arial" w:hAnsi="Arial" w:cs="Arial" w:eastAsia="Arial"/>
      <w:color w:val="000000"/>
      <w:sz w:val="20"/>
      <w:lang w:val="en-US" w:bidi="en-US"/>
    </w:rPr>
  </w:style>
  <w:style w:type="paragraph" w:styleId="828">
    <w:name w:val="HTML Preformatted"/>
    <w:pPr>
      <w:spacing w:after="0" w:line="240" w:lineRule="auto"/>
      <w:shd w:val="clear" w:color="auto" w:fill="000000"/>
      <w:tabs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New" w:hAnsi="CourierNew" w:cs="CourierNew" w:eastAsia="CourierNew"/>
      <w:color w:val="000000"/>
      <w:sz w:val="20"/>
      <w:lang w:val="en-US" w:bidi="en-US"/>
    </w:rPr>
  </w:style>
  <w:style w:type="paragraph" w:styleId="829">
    <w:name w:val="Обычный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 w:color="auto" w:fill="000000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Times New Roman" w:hAnsi="Times New Roman" w:cs="Times New Roman" w:eastAsia="Times New Roman"/>
      <w:b w:val="0"/>
      <w:bCs w:val="0"/>
      <w:i w:val="0"/>
      <w:iCs w:val="0"/>
      <w:caps w:val="0"/>
      <w:smallCaps w:val="0"/>
      <w:strike w:val="false"/>
      <w:vanish w:val="false"/>
      <w:color w:val="auto"/>
      <w:spacing w:val="0"/>
      <w:position w:val="0"/>
      <w:sz w:val="20"/>
      <w:szCs w:val="22"/>
      <w:u w:val="none"/>
      <w:vertAlign w:val="baseline"/>
      <w:rtl w:val="false"/>
      <w:cs w:val="false"/>
      <w:lang w:val="ru-RU" w:bidi="ar-SA"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yperlink" Target="https://mingrad.pnzreg.ru/deyatelnost-ministerstva/upravlenie-inspektsiya-gos-stroitelnogo-nadzora-i-sokhrannosti-avtomobilnykh-dorog/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PT Sans"/>
        <a:ea typeface="PT Sans"/>
        <a:cs typeface="PT Sans"/>
      </a:majorFont>
      <a:minorFont>
        <a:latin typeface="PT Sans"/>
        <a:ea typeface="PT Sans"/>
        <a:cs typeface="PT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Р7-Офис/7.1.1.35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11</cp:revision>
  <dcterms:created xsi:type="dcterms:W3CDTF">2021-11-23T10:09:00Z</dcterms:created>
  <dcterms:modified xsi:type="dcterms:W3CDTF">2023-03-27T07:09:10Z</dcterms:modified>
</cp:coreProperties>
</file>