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1"/>
        <w:jc w:val="right"/>
        <w:spacing w:before="0" w:after="0" w:line="240" w:lineRule="auto"/>
        <w:shd w:val="clear" w:color="auto" w:fill="ffffff"/>
      </w:pPr>
      <w:r>
        <w:rPr>
          <w:rFonts w:ascii="TimesNewRoman" w:hAnsi="TimesNewRoman" w:cs="TimesNewRoman" w:eastAsia="TimesNewRoman"/>
          <w:color w:val="000000"/>
          <w:sz w:val="24"/>
        </w:rPr>
        <w:t xml:space="preserve">Приложение №2</w:t>
      </w:r>
      <w:r>
        <w:rPr>
          <w:sz w:val="24"/>
        </w:rPr>
      </w:r>
      <w:r/>
    </w:p>
    <w:p>
      <w:pPr>
        <w:pStyle w:val="901"/>
        <w:jc w:val="right"/>
        <w:spacing w:before="0" w:after="0" w:line="240" w:lineRule="auto"/>
        <w:shd w:val="clear" w:color="auto" w:fill="ffffff"/>
      </w:pPr>
      <w:r>
        <w:rPr>
          <w:rFonts w:ascii="TimesNewRoman" w:hAnsi="TimesNewRoman" w:cs="TimesNewRoman" w:eastAsia="TimesNewRoman"/>
          <w:color w:val="000000"/>
          <w:sz w:val="24"/>
        </w:rPr>
        <w:t xml:space="preserve">к приказу</w:t>
      </w:r>
      <w:r>
        <w:rPr>
          <w:sz w:val="24"/>
        </w:rPr>
      </w:r>
      <w:r/>
    </w:p>
    <w:p>
      <w:pPr>
        <w:pStyle w:val="901"/>
        <w:jc w:val="right"/>
        <w:spacing w:before="0" w:after="0" w:line="240" w:lineRule="auto"/>
        <w:shd w:val="clear" w:color="auto" w:fill="ffffff"/>
      </w:pPr>
      <w:r>
        <w:rPr>
          <w:rFonts w:ascii="TimesNewRoman" w:hAnsi="TimesNewRoman" w:cs="TimesNewRoman" w:eastAsia="TimesNewRoman"/>
          <w:color w:val="000000"/>
          <w:sz w:val="24"/>
        </w:rPr>
        <w:t xml:space="preserve">Министерства градостроительства</w:t>
      </w:r>
      <w:r>
        <w:rPr>
          <w:sz w:val="24"/>
        </w:rPr>
      </w:r>
      <w:r/>
    </w:p>
    <w:p>
      <w:pPr>
        <w:pStyle w:val="901"/>
        <w:jc w:val="right"/>
        <w:spacing w:before="0" w:after="0" w:line="240" w:lineRule="auto"/>
        <w:shd w:val="clear" w:color="auto" w:fill="ffffff"/>
      </w:pPr>
      <w:r>
        <w:rPr>
          <w:rFonts w:ascii="TimesNewRoman" w:hAnsi="TimesNewRoman" w:cs="TimesNewRoman" w:eastAsia="TimesNewRoman"/>
          <w:color w:val="000000"/>
          <w:sz w:val="24"/>
        </w:rPr>
        <w:t xml:space="preserve">и архитектуры</w:t>
      </w:r>
      <w:r>
        <w:rPr>
          <w:sz w:val="24"/>
        </w:rPr>
      </w:r>
      <w:r/>
    </w:p>
    <w:p>
      <w:pPr>
        <w:pStyle w:val="901"/>
        <w:jc w:val="right"/>
        <w:spacing w:before="0" w:after="0" w:line="240" w:lineRule="auto"/>
        <w:shd w:val="clear" w:color="auto" w:fill="ffffff"/>
      </w:pPr>
      <w:r>
        <w:rPr>
          <w:rFonts w:ascii="TimesNewRoman" w:hAnsi="TimesNewRoman" w:cs="TimesNewRoman" w:eastAsia="TimesNewRoman"/>
          <w:color w:val="000000"/>
          <w:sz w:val="24"/>
        </w:rPr>
        <w:t xml:space="preserve">Пензенской области</w:t>
      </w:r>
      <w:r>
        <w:rPr>
          <w:sz w:val="24"/>
        </w:rPr>
      </w:r>
      <w:r/>
    </w:p>
    <w:p>
      <w:pPr>
        <w:pStyle w:val="901"/>
        <w:ind w:left="0" w:firstLine="0"/>
        <w:jc w:val="center"/>
        <w:spacing w:before="0" w:after="0" w:line="240" w:lineRule="auto"/>
        <w:shd w:val="clear" w:color="auto" w:fill="ffffff"/>
        <w:rPr>
          <w:rFonts w:ascii="TimesNewRoman" w:hAnsi="TimesNewRoman" w:cs="TimesNewRoman" w:eastAsia="TimesNew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cs="TimesNewRoman" w:eastAsia="TimesNewRoman"/>
          <w:color w:val="000000"/>
          <w:sz w:val="24"/>
        </w:rPr>
        <w:t xml:space="preserve">                                                                                                       от «16» </w:t>
      </w:r>
      <w:r>
        <w:rPr>
          <w:rFonts w:ascii="TimesNewRoman" w:hAnsi="TimesNewRoman" w:cs="TimesNewRoman" w:eastAsia="TimesNewRoman"/>
          <w:color w:val="000000"/>
          <w:sz w:val="24"/>
          <w:lang w:val="ru-RU"/>
        </w:rPr>
        <w:t xml:space="preserve">декабря</w:t>
      </w:r>
      <w:r>
        <w:rPr>
          <w:rFonts w:ascii="TimesNewRoman" w:hAnsi="TimesNewRoman" w:cs="TimesNewRoman" w:eastAsia="TimesNewRoman"/>
          <w:color w:val="000000"/>
          <w:sz w:val="24"/>
        </w:rPr>
        <w:t xml:space="preserve"> 202</w:t>
      </w:r>
      <w:r>
        <w:rPr>
          <w:rFonts w:ascii="TimesNewRoman" w:hAnsi="TimesNewRoman" w:cs="TimesNewRoman" w:eastAsia="TimesNewRoman"/>
          <w:color w:val="000000"/>
          <w:sz w:val="24"/>
          <w:lang w:val="ru-RU"/>
        </w:rPr>
        <w:t xml:space="preserve">2</w:t>
      </w:r>
      <w:r>
        <w:rPr>
          <w:rFonts w:ascii="TimesNewRoman" w:hAnsi="TimesNewRoman" w:cs="TimesNewRoman" w:eastAsia="TimesNewRoman"/>
          <w:color w:val="000000"/>
          <w:sz w:val="24"/>
        </w:rPr>
        <w:t xml:space="preserve"> №</w:t>
      </w:r>
      <w:r>
        <w:rPr>
          <w:rFonts w:ascii="TimesNewRoman" w:hAnsi="TimesNewRoman" w:cs="TimesNewRoman" w:eastAsia="TimesNewRoman"/>
          <w:color w:val="000000"/>
          <w:sz w:val="24"/>
          <w:lang w:val="ru-RU"/>
        </w:rPr>
        <w:t xml:space="preserve">324-1</w:t>
      </w:r>
      <w:r>
        <w:rPr>
          <w:rFonts w:ascii="TimesNewRoman" w:hAnsi="TimesNewRoman" w:cs="TimesNewRoman" w:eastAsia="TimesNewRoman"/>
          <w:color w:val="000000"/>
          <w:sz w:val="24"/>
        </w:rPr>
        <w:t xml:space="preserve">/оп</w:t>
      </w:r>
      <w:r>
        <w:rPr>
          <w:rFonts w:ascii="TimesNewRoman" w:hAnsi="TimesNewRoman" w:cs="TimesNewRoman" w:eastAsia="TimesNewRoman"/>
          <w:color w:val="000000"/>
          <w:sz w:val="24"/>
        </w:rPr>
      </w:r>
      <w:r/>
    </w:p>
    <w:p>
      <w:pPr>
        <w:jc w:val="right"/>
        <w:spacing w:after="0"/>
        <w:rPr>
          <w:rFonts w:ascii="Times New Roman" w:hAnsi="Times New Roman" w:cs="Times New Roman"/>
          <w:b/>
          <w:sz w:val="27"/>
          <w:szCs w:val="28"/>
        </w:rPr>
      </w:pPr>
      <w:r>
        <w:rPr>
          <w:rFonts w:ascii="Times New Roman" w:hAnsi="Times New Roman" w:cs="Times New Roman"/>
          <w:b/>
          <w:sz w:val="27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7"/>
          <w:szCs w:val="28"/>
          <w:highlight w:val="none"/>
        </w:rPr>
      </w:pPr>
      <w:r>
        <w:rPr>
          <w:rFonts w:ascii="Times New Roman" w:hAnsi="Times New Roman" w:cs="Times New Roman"/>
          <w:b/>
          <w:sz w:val="27"/>
          <w:szCs w:val="28"/>
          <w:highlight w:val="none"/>
        </w:rPr>
      </w:r>
      <w:r>
        <w:rPr>
          <w:rFonts w:ascii="Times New Roman" w:hAnsi="Times New Roman" w:cs="Times New Roman"/>
          <w:b/>
          <w:sz w:val="27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7"/>
          <w:szCs w:val="28"/>
          <w:highlight w:val="none"/>
        </w:rPr>
      </w:pPr>
      <w:r>
        <w:rPr>
          <w:rFonts w:ascii="Times New Roman" w:hAnsi="Times New Roman" w:cs="Times New Roman"/>
          <w:b/>
          <w:sz w:val="27"/>
          <w:szCs w:val="28"/>
          <w:highlight w:val="none"/>
        </w:rPr>
      </w:r>
      <w:r>
        <w:rPr>
          <w:rFonts w:ascii="Times New Roman" w:hAnsi="Times New Roman" w:cs="Times New Roman"/>
          <w:b/>
          <w:sz w:val="27"/>
          <w:szCs w:val="28"/>
          <w:highlight w:val="none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7"/>
          <w:szCs w:val="28"/>
          <w:highlight w:val="none"/>
        </w:rPr>
      </w:pPr>
      <w:r>
        <w:rPr>
          <w:rFonts w:ascii="Times New Roman" w:hAnsi="Times New Roman" w:cs="Times New Roman"/>
          <w:b/>
          <w:sz w:val="27"/>
          <w:szCs w:val="28"/>
        </w:rPr>
        <w:t xml:space="preserve">ПРОГРАММА </w:t>
      </w:r>
      <w:r>
        <w:rPr>
          <w:sz w:val="27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7"/>
          <w:szCs w:val="28"/>
        </w:rPr>
      </w:pPr>
      <w:r>
        <w:rPr>
          <w:rFonts w:ascii="Times New Roman" w:hAnsi="Times New Roman" w:cs="Times New Roman"/>
          <w:b/>
          <w:sz w:val="27"/>
          <w:szCs w:val="28"/>
        </w:rPr>
        <w:t xml:space="preserve">профилактики </w:t>
      </w:r>
      <w:r>
        <w:rPr>
          <w:rFonts w:ascii="Times New Roman" w:hAnsi="Times New Roman" w:cs="Times New Roman"/>
          <w:b/>
          <w:sz w:val="27"/>
          <w:szCs w:val="28"/>
        </w:rPr>
        <w:t xml:space="preserve">рисков причинения вреда (ущерба) охраняемым законом ценностям в рамках осуществления Министерством </w:t>
      </w:r>
      <w:r>
        <w:rPr>
          <w:rFonts w:ascii="Times New Roman" w:hAnsi="Times New Roman" w:cs="Times New Roman"/>
          <w:b/>
          <w:sz w:val="27"/>
          <w:szCs w:val="28"/>
        </w:rPr>
        <w:t xml:space="preserve">градостроительства и архитектуры Пензенской области </w:t>
      </w:r>
      <w:r>
        <w:rPr>
          <w:rFonts w:ascii="Times New Roman" w:hAnsi="Times New Roman" w:cs="Times New Roman"/>
          <w:b/>
          <w:sz w:val="27"/>
          <w:szCs w:val="28"/>
        </w:rPr>
        <w:t xml:space="preserve">регионального государственного</w:t>
      </w:r>
      <w:r>
        <w:rPr>
          <w:rFonts w:ascii="Times New Roman" w:hAnsi="Times New Roman" w:cs="Times New Roman"/>
          <w:b/>
          <w:sz w:val="27"/>
          <w:szCs w:val="28"/>
        </w:rPr>
      </w:r>
      <w:r/>
    </w:p>
    <w:p>
      <w:pPr>
        <w:jc w:val="center"/>
        <w:spacing w:after="0"/>
      </w:pPr>
      <w:r>
        <w:rPr>
          <w:rFonts w:ascii="Times New Roman" w:hAnsi="Times New Roman" w:cs="Times New Roman"/>
          <w:b/>
          <w:sz w:val="27"/>
          <w:szCs w:val="28"/>
        </w:rPr>
        <w:t xml:space="preserve">контроля (надзора) в области долевого строительства многоквартирных</w:t>
      </w:r>
      <w:r>
        <w:rPr>
          <w:rFonts w:ascii="Times New Roman" w:hAnsi="Times New Roman" w:cs="Times New Roman"/>
          <w:b/>
          <w:sz w:val="27"/>
          <w:szCs w:val="28"/>
        </w:rPr>
      </w:r>
      <w:r/>
    </w:p>
    <w:p>
      <w:pPr>
        <w:jc w:val="center"/>
        <w:spacing w:after="0"/>
      </w:pPr>
      <w:r>
        <w:rPr>
          <w:rFonts w:ascii="Times New Roman" w:hAnsi="Times New Roman" w:cs="Times New Roman"/>
          <w:b/>
          <w:sz w:val="27"/>
          <w:szCs w:val="28"/>
        </w:rPr>
        <w:t xml:space="preserve">домов и (или) иных объектов недвижимости, регионального </w:t>
      </w:r>
      <w:r>
        <w:rPr>
          <w:rFonts w:ascii="Times New Roman" w:hAnsi="Times New Roman" w:cs="Times New Roman"/>
          <w:b/>
          <w:sz w:val="27"/>
          <w:szCs w:val="28"/>
        </w:rPr>
        <w:t xml:space="preserve">государственного контроля (надзора) за деятельностью жилищностроительных кооперативов, связанной с привлечением средств членов </w:t>
      </w:r>
      <w:r>
        <w:rPr>
          <w:rFonts w:ascii="Times New Roman" w:hAnsi="Times New Roman" w:cs="Times New Roman"/>
          <w:b/>
          <w:sz w:val="27"/>
          <w:szCs w:val="28"/>
        </w:rPr>
        <w:t xml:space="preserve">кооперативов для строительства многоквартирных домов на 2023 год</w:t>
      </w:r>
      <w:r>
        <w:rPr>
          <w:rFonts w:ascii="Times New Roman" w:hAnsi="Times New Roman" w:cs="Times New Roman"/>
          <w:b/>
          <w:sz w:val="27"/>
          <w:szCs w:val="28"/>
        </w:rPr>
      </w:r>
      <w:r/>
    </w:p>
    <w:p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</w:r>
      <w:r>
        <w:rPr>
          <w:sz w:val="27"/>
        </w:rPr>
      </w:r>
      <w:r/>
    </w:p>
    <w:p>
      <w:pPr>
        <w:ind w:left="567" w:right="0" w:firstLine="0"/>
        <w:jc w:val="center"/>
        <w:spacing w:after="0" w:line="240" w:lineRule="auto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b/>
          <w:sz w:val="27"/>
          <w:szCs w:val="28"/>
        </w:rPr>
        <w:t xml:space="preserve">1. Основания для разработки программы</w:t>
      </w:r>
      <w:r>
        <w:rPr>
          <w:rFonts w:ascii="Times New Roman" w:hAnsi="Times New Roman" w:cs="Times New Roman"/>
          <w:b/>
          <w:sz w:val="27"/>
          <w:szCs w:val="28"/>
        </w:rPr>
        <w:t xml:space="preserve">.</w:t>
      </w:r>
      <w:r>
        <w:rPr>
          <w:b/>
          <w:sz w:val="27"/>
        </w:rPr>
      </w:r>
      <w:r/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 w:eastAsia="Times New Roman"/>
          <w:b w:val="0"/>
          <w:sz w:val="27"/>
        </w:rPr>
      </w:pPr>
      <w:r>
        <w:rPr>
          <w:rFonts w:ascii="Times New Roman" w:hAnsi="Times New Roman" w:cs="Times New Roman" w:eastAsia="Times New Roman"/>
          <w:b w:val="0"/>
          <w:sz w:val="27"/>
          <w:szCs w:val="28"/>
          <w:highlight w:val="none"/>
          <w:lang w:eastAsia="ru-RU"/>
        </w:rPr>
      </w:r>
      <w:r>
        <w:rPr>
          <w:rFonts w:ascii="Times New Roman" w:hAnsi="Times New Roman" w:cs="Times New Roman" w:eastAsia="Times New Roman"/>
          <w:b w:val="0"/>
          <w:sz w:val="27"/>
          <w:szCs w:val="28"/>
          <w:highlight w:val="none"/>
          <w:lang w:eastAsia="ru-RU"/>
        </w:rPr>
      </w:r>
      <w:r/>
    </w:p>
    <w:p>
      <w:pPr>
        <w:ind w:left="0" w:right="0" w:firstLine="567"/>
        <w:jc w:val="both"/>
        <w:spacing w:after="0" w:line="240" w:lineRule="auto"/>
        <w:rPr>
          <w:sz w:val="27"/>
          <w:szCs w:val="28"/>
        </w:rPr>
      </w:pPr>
      <w:r>
        <w:rPr>
          <w:sz w:val="27"/>
        </w:rPr>
        <w:t xml:space="preserve">Программа профилактики рисков причинения вреда (ущерба) охраняемым законом ценностям в рамках осуществления Министерством градостроительства и архитектуры Пензенской области (далее - Министерство) регионального государственного контроля (надзора) в обла</w:t>
      </w:r>
      <w:r>
        <w:rPr>
          <w:sz w:val="27"/>
        </w:rPr>
        <w:t xml:space="preserve">сти долевого строительства многоквартирных домов и (или) иных объектов недвижимости, регионального государственного контроля (надзора) за деятельностью жилищно-строительных кооперативов, связанной с привлечением средств членов кооперативов для строительств</w:t>
      </w:r>
      <w:r>
        <w:rPr>
          <w:sz w:val="27"/>
        </w:rPr>
        <w:t xml:space="preserve">а многоквартирных домов на 2023 год (далее - Программа), разработана в соответствии: </w:t>
      </w:r>
      <w:r>
        <w:rPr>
          <w:sz w:val="27"/>
        </w:rPr>
      </w:r>
      <w:r/>
    </w:p>
    <w:p>
      <w:pPr>
        <w:ind w:left="0" w:right="0" w:firstLine="567"/>
        <w:jc w:val="both"/>
        <w:spacing w:after="0" w:line="240" w:lineRule="auto"/>
        <w:rPr>
          <w:sz w:val="27"/>
          <w:szCs w:val="28"/>
        </w:rPr>
      </w:pPr>
      <w:r>
        <w:rPr>
          <w:sz w:val="27"/>
        </w:rPr>
        <w:t xml:space="preserve">- со ст. 44 Федерального закона от 31.07.2020 № 248-ФЗ «О государственном контроле (надзоре) и муниципальном контроле в Российской Федерации» (далее – Закон № 248-ФЗ); </w:t>
      </w:r>
      <w:r>
        <w:rPr>
          <w:sz w:val="27"/>
        </w:rPr>
      </w:r>
      <w:r/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7"/>
          <w:szCs w:val="28"/>
          <w:highlight w:val="none"/>
        </w:rPr>
      </w:pPr>
      <w:r>
        <w:rPr>
          <w:sz w:val="27"/>
        </w:rPr>
        <w:t xml:space="preserve">- с</w:t>
      </w:r>
      <w:r>
        <w:rPr>
          <w:sz w:val="27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r>
        <w:rPr>
          <w:sz w:val="27"/>
        </w:rPr>
      </w:r>
      <w:r/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  <w:szCs w:val="28"/>
          <w:highlight w:val="none"/>
        </w:rPr>
      </w:r>
      <w:r>
        <w:rPr>
          <w:rFonts w:ascii="Times New Roman" w:hAnsi="Times New Roman" w:cs="Times New Roman"/>
          <w:sz w:val="27"/>
          <w:szCs w:val="28"/>
          <w:highlight w:val="none"/>
        </w:rPr>
      </w:r>
      <w:r/>
    </w:p>
    <w:p>
      <w:pPr>
        <w:ind w:left="0" w:right="0" w:firstLine="567"/>
        <w:jc w:val="center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b/>
          <w:sz w:val="27"/>
          <w:szCs w:val="28"/>
        </w:rPr>
        <w:t xml:space="preserve">2. </w:t>
      </w:r>
      <w:r>
        <w:rPr>
          <w:b/>
          <w:sz w:val="27"/>
        </w:rPr>
        <w:t xml:space="preserve">Анализ текущего состояния осуществления вида контроля, </w:t>
      </w:r>
      <w:r>
        <w:rPr>
          <w:b/>
          <w:sz w:val="27"/>
        </w:rPr>
        <w:t xml:space="preserve">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</w:t>
      </w:r>
      <w:r>
        <w:rPr>
          <w:sz w:val="27"/>
        </w:rPr>
      </w:r>
      <w:r/>
    </w:p>
    <w:p>
      <w:pPr>
        <w:ind w:firstLine="851"/>
        <w:jc w:val="both"/>
        <w:spacing w:after="0" w:line="240" w:lineRule="auto"/>
        <w:rPr>
          <w:rFonts w:ascii="Times New Roman" w:hAnsi="Times New Roman" w:cs="Times New Roman" w:eastAsia="Times New Roman"/>
          <w:sz w:val="27"/>
          <w:highlight w:val="none"/>
        </w:rPr>
      </w:pPr>
      <w:r>
        <w:rPr>
          <w:rFonts w:ascii="Times New Roman" w:hAnsi="Times New Roman" w:cs="Times New Roman" w:eastAsia="Times New Roman"/>
          <w:sz w:val="27"/>
          <w:szCs w:val="28"/>
          <w:highlight w:val="none"/>
          <w:lang w:eastAsia="ru-RU"/>
        </w:rPr>
      </w:r>
      <w:r>
        <w:rPr>
          <w:rFonts w:ascii="Times New Roman" w:hAnsi="Times New Roman" w:cs="Times New Roman" w:eastAsia="Times New Roman"/>
          <w:sz w:val="27"/>
          <w:szCs w:val="28"/>
          <w:highlight w:val="none"/>
          <w:lang w:eastAsia="ru-RU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rFonts w:ascii="Times New Roman" w:hAnsi="Times New Roman" w:cs="Times New Roman" w:eastAsia="Times New Roman"/>
          <w:sz w:val="27"/>
          <w:szCs w:val="28"/>
          <w:highlight w:val="white"/>
        </w:rPr>
      </w:r>
      <w:r>
        <w:rPr>
          <w:sz w:val="27"/>
        </w:rPr>
        <w:t xml:space="preserve">Министерство градостроительства и архитектуры Пензенской области осуществляет региональный государственный контроль (надзор) в области долевого строительства многоквартирных домов и (или) иных объектов недвижимости, региональный г</w:t>
      </w:r>
      <w:r>
        <w:rPr>
          <w:sz w:val="27"/>
        </w:rPr>
        <w:t xml:space="preserve">осударственный контроль (надзор) за деятельностью жилищно-строительных кооперативов, связанной с привлечением средств членов кооперативов для строительства многоквартирных домов (далее - региональный государственный контроль (надзор).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Предметом регионально</w:t>
      </w:r>
      <w:r>
        <w:rPr>
          <w:sz w:val="27"/>
        </w:rPr>
        <w:t xml:space="preserve">го государственного контроля (надзора) является соблюдение лицами, привлекающими денежные средства участников долевого строительства для строительства (создания) многоквартирных домов и (или) иных объектов недвижимости, в том числе, застройщиками, их должн</w:t>
      </w:r>
      <w:r>
        <w:rPr>
          <w:sz w:val="27"/>
        </w:rPr>
        <w:t xml:space="preserve">остными лицами, а также жилищно-строительными кооперативами, привлекающими средства членов кооперативов для строительства многоквартирных домов обязательных требований, установленных Федеральном законом от 30 декабря 2004 г. № 214-ФЗ «Об участии в долевом </w:t>
      </w:r>
      <w:r>
        <w:rPr>
          <w:sz w:val="27"/>
        </w:rPr>
        <w:t xml:space="preserve">строительстве многоквартирных домов и иных объектов недвижимости и о внесении изменений в некоторые законодательные акты Российской Федерации» и принятыми в соответствии с ним иными нормативными правовыми актами Российской Федерации, а также обязательных т</w:t>
      </w:r>
      <w:r>
        <w:rPr>
          <w:sz w:val="27"/>
        </w:rPr>
        <w:t xml:space="preserve">ребований, установленных частью 3 статьи 110 Жилищного кодекса Российской Федерации, за исключением последующего содержания многоквартирных домов, и статьей 123.1 Жилищного кодекса Российской Федерации (далее – обязательные требования в области долевого ст</w:t>
      </w:r>
      <w:r>
        <w:rPr>
          <w:sz w:val="27"/>
        </w:rPr>
        <w:t xml:space="preserve">роительства и деятельности жилищностроительных кооперативов), а также контроля над исполнением решений, принимаемых по результатам контрольных (надзорных) мероприятий.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На территории Пензенской области по состоянию на 01.10.2022 40 застройщиков осуществляют деятельность, связанную с привлечением денежных средств участников долевого строительства. Указанными застройщиками осущ</w:t>
      </w:r>
      <w:r>
        <w:rPr>
          <w:sz w:val="27"/>
        </w:rPr>
        <w:t xml:space="preserve">ествляется долевое строительство 75 многоквартирных жилых домов. Общая площадь объектов </w:t>
      </w:r>
      <w:r>
        <w:rPr>
          <w:sz w:val="27"/>
        </w:rPr>
        <w:t xml:space="preserve">1 476 689</w:t>
      </w:r>
      <w:r>
        <w:rPr>
          <w:sz w:val="27"/>
        </w:rPr>
        <w:t xml:space="preserve"> кв. м.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</w:r>
      <w:r>
        <w:rPr>
          <w:sz w:val="27"/>
        </w:rPr>
        <w:t xml:space="preserve">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Пензенской области, регионального государственног</w:t>
      </w:r>
      <w:r>
        <w:rPr>
          <w:sz w:val="27"/>
        </w:rPr>
        <w:t xml:space="preserve">о контроля (надзора) за деятельностью жилищно-строительных кооперативов, связанной с привлечением средств членов кооперативов для строительства многоквартирных домов </w:t>
      </w:r>
      <w:r>
        <w:rPr>
          <w:sz w:val="27"/>
        </w:rPr>
        <w:t xml:space="preserve">контролирующий орган вправе: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пр</w:t>
      </w:r>
      <w:r>
        <w:rPr>
          <w:sz w:val="27"/>
        </w:rPr>
        <w:t xml:space="preserve">оводить контрольные (надзорные) мероприятия такие как внеплановая документарная проверка (далее – документарная проверка), наблюдение за соблюдением обязательных требований (без взаимодействия с контролируемым лицом);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выдавать предписание об устранении в</w:t>
      </w:r>
      <w:r>
        <w:rPr>
          <w:sz w:val="27"/>
        </w:rPr>
        <w:t xml:space="preserve">ыявленных нарушений обязательных требований, выявленных в ходе наблюдения за соблюдением обязательных требований (мониторинга безопасности) и привлекать к административной ответственности;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обращаться в суд с заявлением о приостановлении деятельности, свя</w:t>
      </w:r>
      <w:r>
        <w:rPr>
          <w:sz w:val="27"/>
        </w:rPr>
        <w:t xml:space="preserve">занной с привлечением денежных средств участников долевого строительства, в случаях, предусмотренных Федеральным законом от 30.12.2004 № 214-ФЗ «Об участии в долевом строительстве многоквартирных домов и иных объектов недвижимости и о внесении изменений в </w:t>
      </w:r>
      <w:r>
        <w:rPr>
          <w:sz w:val="27"/>
        </w:rPr>
        <w:t xml:space="preserve">некоторые законодательные акты Российской Федерации» (далее – Федеральный закон № 214-ФЗ).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При этом Министерство не вправе вмешиваться в хозяйственную деятельность застройщиков.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В соответствии с пунктом 3 статьи 23.5 Федерального закона № 214-ФЗ и пунктом </w:t>
      </w:r>
      <w:r>
        <w:rPr>
          <w:sz w:val="27"/>
        </w:rPr>
        <w:t xml:space="preserve">3 статьи 123.3 Жилищного кодекса Российской Федерации от 29.12.2004 № 188-ФЗ, при осуществлении регионального государственного контроля (надзора) плановые контрольные (надзорные) мероприятия не проводятся.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  <w:highlight w:val="none"/>
        </w:rPr>
      </w:pPr>
      <w:r>
        <w:rPr>
          <w:sz w:val="27"/>
        </w:rPr>
        <w:t xml:space="preserve">В целях принятия мер, направленных на предотвращен</w:t>
      </w:r>
      <w:r>
        <w:rPr>
          <w:sz w:val="27"/>
        </w:rPr>
        <w:t xml:space="preserve">ие появления «обманутых» дольщиков, при осуществлении регионального государственного контроля (надзора) с 01 января 2022 г. по 01 октября 2022 г. Министерством проведена 1 документарная проверка, рассмотрено 33 обращения граждан. </w:t>
      </w:r>
      <w:r>
        <w:rPr>
          <w:sz w:val="27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  <w:highlight w:val="none"/>
        </w:rPr>
      </w:r>
      <w:r>
        <w:rPr>
          <w:sz w:val="27"/>
        </w:rPr>
        <w:t xml:space="preserve">Выявлено 6 нарушений; воз</w:t>
      </w:r>
      <w:r>
        <w:rPr>
          <w:sz w:val="27"/>
        </w:rPr>
        <w:t xml:space="preserve">буждено 6 административных дел о нарушении требований законодательства об участии в долевом строительстве многоквартирных домов и (или) иных объектов недвижимости. </w:t>
      </w:r>
      <w:r>
        <w:rPr>
          <w:sz w:val="27"/>
          <w:highlight w:val="non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В 2022 году Министерством не использов</w:t>
      </w:r>
      <w:r>
        <w:rPr>
          <w:sz w:val="27"/>
        </w:rPr>
        <w:t xml:space="preserve">алось право на обращение в арбитражный суд с заявлением о приостановлении деятельности застройщика в связи с отсутствием оснований, предусмотренных частью 15 статьи 23 Федерального закона № 214-ФЗ.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Типичными нарушениями, выявляемыми при осуществлении регио</w:t>
      </w:r>
      <w:r>
        <w:rPr>
          <w:sz w:val="27"/>
        </w:rPr>
        <w:t xml:space="preserve">нального государственного контроля (надзора) являлись нарушения в части информационной открытости в единой информационной системе жилищного строительства (далее – ЕИСЖС) по раскрытию застройщиком информации: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нарушение сроков опубликования и (или) размеще</w:t>
      </w:r>
      <w:r>
        <w:rPr>
          <w:sz w:val="27"/>
        </w:rPr>
        <w:t xml:space="preserve">ния проектной декларации, либо вносимых в нее изменений;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нарушение порядка, сроков и (или) периодичности размещения информации;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размещение информации не в полном объеме.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Основными причинами нарушений обязательных требований являются: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отсутствие заинт</w:t>
      </w:r>
      <w:r>
        <w:rPr>
          <w:sz w:val="27"/>
        </w:rPr>
        <w:t xml:space="preserve">ересованности контролируемых лиц (застройщиков) исполнять вносимые в законодательство о долевом строительстве требования и отсутствие правовой грамотности лиц, участвующих в долевом строительстве;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- проблемы технического характера (в части размещения инфор</w:t>
      </w:r>
      <w:r>
        <w:rPr>
          <w:sz w:val="27"/>
        </w:rPr>
        <w:t xml:space="preserve">мации);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Основные рекомендации контролируемым лицам (застройщикам) по проведению мероприятий, направленных на устранении условий и причин совершения массовых нарушений обязательных требований: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1) изучить требования основных нормативно-правовых актов в облас</w:t>
      </w:r>
      <w:r>
        <w:rPr>
          <w:sz w:val="27"/>
        </w:rPr>
        <w:t xml:space="preserve">ти долевого строительства;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2) ознакомление с результатами проведения проверок;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  <w:highlight w:val="none"/>
        </w:rPr>
      </w:pPr>
      <w:r>
        <w:rPr>
          <w:sz w:val="27"/>
        </w:rPr>
        <w:t xml:space="preserve">3) своевременное ознакомление с изменениями законодательства.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Правительство РФ постановлением № 336  «Об особенностях организации и осуществления государственного контроля (надзора), муниципального контроля» с 10 марта ввело мораторий на проверки бизнеса в 2022 году.</w:t>
      </w:r>
      <w:r>
        <w:rPr>
          <w:sz w:val="27"/>
          <w:highlight w:val="non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Д</w:t>
      </w:r>
      <w:r>
        <w:rPr>
          <w:sz w:val="27"/>
          <w:highlight w:val="none"/>
        </w:rPr>
        <w:t xml:space="preserve">окументом определены исключительные основания проведения в 2022 году внеплановых контрольных мероприятий и проверок, в числе которых непосредственная угроза причинения вреда жизни и тяжкого вреда здоровью граждан, непосредственная угроза обороне страны и б</w:t>
      </w:r>
      <w:r>
        <w:rPr>
          <w:sz w:val="27"/>
          <w:highlight w:val="none"/>
        </w:rPr>
        <w:t xml:space="preserve">езопасности государства и непосредственная угроза возникновения чрезвычайных ситуаций природного и (или) техногенного характера.</w:t>
      </w:r>
      <w:r>
        <w:rPr>
          <w:sz w:val="27"/>
          <w:highlight w:val="non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П</w:t>
      </w:r>
      <w:r>
        <w:rPr>
          <w:sz w:val="27"/>
          <w:highlight w:val="none"/>
        </w:rPr>
        <w:t xml:space="preserve">остановлением Правительства РФ от 12.03.2022 № 353 «Об особенностях разрешительной деятельности в Российской Федерации в 2022 году» установлено, что на 2 года продлевается срок действия квалификационных аттестатов на право подготовки заключений экспертизы </w:t>
      </w:r>
      <w:r>
        <w:rPr>
          <w:sz w:val="27"/>
          <w:highlight w:val="none"/>
        </w:rPr>
        <w:t xml:space="preserve">п</w:t>
      </w:r>
      <w:r>
        <w:rPr>
          <w:sz w:val="27"/>
          <w:highlight w:val="none"/>
        </w:rPr>
        <w:t xml:space="preserve">роектной документации и (или) экспертизы результатов инженерных изысканий, полученных в соответствии со статьей 49.1 Градостроительного кодекса Российской Федерации, срок действия которых истекает в период со дня вступления в силу настоящего постановления </w:t>
      </w:r>
      <w:r>
        <w:rPr>
          <w:sz w:val="27"/>
          <w:highlight w:val="none"/>
        </w:rPr>
        <w:t xml:space="preserve">по 31 декабря 2023 г.</w:t>
      </w:r>
      <w:r>
        <w:rPr>
          <w:sz w:val="27"/>
          <w:highlight w:val="non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Н</w:t>
      </w:r>
      <w:r>
        <w:rPr>
          <w:sz w:val="27"/>
          <w:highlight w:val="none"/>
        </w:rPr>
        <w:t xml:space="preserve">а один год продлевается срок действия разрешений на строительство объектов капитального строительства, срок действия которых истекает в период со дня вступления в силу постановления Правительства РФ от 2 апреля 2022 г. № 575 «Об особенностях подготовки, со</w:t>
      </w:r>
      <w:r>
        <w:rPr>
          <w:sz w:val="27"/>
          <w:highlight w:val="none"/>
        </w:rPr>
        <w:t xml:space="preserve">г</w:t>
      </w:r>
      <w:r>
        <w:rPr>
          <w:sz w:val="27"/>
          <w:highlight w:val="none"/>
        </w:rPr>
        <w:t xml:space="preserve">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 до 1 августа 20</w:t>
      </w:r>
      <w:r>
        <w:rPr>
          <w:sz w:val="27"/>
          <w:highlight w:val="none"/>
        </w:rPr>
        <w:t xml:space="preserve">22 г.</w:t>
      </w:r>
      <w:r>
        <w:rPr>
          <w:sz w:val="27"/>
          <w:highlight w:val="non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Т</w:t>
      </w:r>
      <w:r>
        <w:rPr>
          <w:sz w:val="27"/>
          <w:highlight w:val="none"/>
        </w:rPr>
        <w:t xml:space="preserve">акже указанным постановлением в период со дня вступления в силу постановления до 1 января 2023 сокращен перечень документов необходимых для разработки документации по планировке территории, получения разрешения на строительство, а также разрешения на ввод </w:t>
      </w:r>
      <w:r>
        <w:rPr>
          <w:sz w:val="27"/>
          <w:highlight w:val="none"/>
        </w:rPr>
        <w:t xml:space="preserve">объектов в эксплуатацию.</w:t>
      </w:r>
      <w:r>
        <w:rPr>
          <w:sz w:val="27"/>
          <w:highlight w:val="non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</w:pPr>
      <w:r>
        <w:rPr>
          <w:sz w:val="27"/>
          <w:highlight w:val="none"/>
        </w:rPr>
        <w:t xml:space="preserve">П</w:t>
      </w:r>
      <w:r>
        <w:rPr>
          <w:sz w:val="27"/>
          <w:highlight w:val="none"/>
        </w:rPr>
        <w:t xml:space="preserve">остановлением Правительства РФ от 26.03.2022 № 479 «Об установлении особенностей применения неустойки (штрафа, пени), иных финансовых санкций, а также других мер ответственности за неисполнение или ненадлежащее исполнение обязательств по договорам участия </w:t>
      </w:r>
      <w:r>
        <w:rPr>
          <w:sz w:val="27"/>
          <w:highlight w:val="none"/>
        </w:rPr>
        <w:t xml:space="preserve">в</w:t>
      </w:r>
      <w:r>
        <w:rPr>
          <w:sz w:val="27"/>
          <w:highlight w:val="none"/>
        </w:rPr>
        <w:t xml:space="preserve"> долевом строительстве, установленных законодательством о долевом строительстве, и об особенностях включения в единый реестр проблемных объектов многоквартирных домов и (или) иных объектов недвижимости, в отношении которых застройщиком более чем на 6 месяц</w:t>
      </w:r>
      <w:r>
        <w:rPr>
          <w:sz w:val="27"/>
          <w:highlight w:val="none"/>
        </w:rPr>
        <w:t xml:space="preserve">е</w:t>
      </w:r>
      <w:r>
        <w:rPr>
          <w:sz w:val="27"/>
          <w:highlight w:val="none"/>
        </w:rPr>
        <w:t xml:space="preserve">в нарушены сроки завершения строительства (создания) многоквартирного дома и (или) иного объекта недвижимости и (или) обязанности по передаче объекта долевого строительства участнику долевого строительства по зарегистрированному договору участия в долевом </w:t>
      </w:r>
      <w:r>
        <w:rPr>
          <w:sz w:val="27"/>
          <w:highlight w:val="none"/>
        </w:rPr>
        <w:t xml:space="preserve">с</w:t>
      </w:r>
      <w:r>
        <w:rPr>
          <w:sz w:val="27"/>
          <w:highlight w:val="none"/>
        </w:rPr>
        <w:t xml:space="preserve">троительстве» предусмотрен мораторий до 01.01.2023 в отношении финансовых санкций к застройщику по претензиям, возникшим до даты вступления в силу постановления. В соответствии с Федеральным законом от 30.12.2004 № 214-ФЗ включение в ЕРПО многоквартирных д</w:t>
      </w:r>
      <w:r>
        <w:rPr>
          <w:sz w:val="27"/>
          <w:highlight w:val="none"/>
        </w:rPr>
        <w:t xml:space="preserve">омов и прочих объектов осуществляется в случае нарушения срока передачи объектов более чем на 6 месяцев. Постановлением предусмотрен мораторий на включение в ЕРПО со дня вступления в силу постановления до 01.01.2023.</w:t>
      </w:r>
      <w:r>
        <w:rPr>
          <w:sz w:val="27"/>
          <w:highlight w:val="non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 </w:t>
      </w:r>
      <w:r/>
    </w:p>
    <w:p>
      <w:pPr>
        <w:ind w:firstLine="851"/>
        <w:jc w:val="center"/>
        <w:spacing w:after="0" w:line="240" w:lineRule="auto"/>
        <w:tabs>
          <w:tab w:val="left" w:pos="0" w:leader="none"/>
          <w:tab w:val="left" w:pos="284" w:leader="none"/>
        </w:tabs>
        <w:rPr>
          <w:b/>
          <w:sz w:val="27"/>
          <w:szCs w:val="28"/>
        </w:rPr>
      </w:pPr>
      <w:r>
        <w:rPr>
          <w:b/>
          <w:sz w:val="27"/>
        </w:rPr>
        <w:t xml:space="preserve">3. Текущее развитие профилактической деятельности </w:t>
      </w:r>
      <w:r>
        <w:rPr>
          <w:b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  <w:highlight w:val="none"/>
        </w:rPr>
      </w:r>
      <w:r>
        <w:rPr>
          <w:sz w:val="27"/>
          <w:highlight w:val="non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  <w:highlight w:val="none"/>
        </w:rPr>
      </w:pPr>
      <w:r>
        <w:rPr>
          <w:sz w:val="27"/>
        </w:rPr>
        <w:t xml:space="preserve">В рамках профилактики правонарушений, установленных федеральными </w:t>
      </w:r>
      <w:r>
        <w:rPr>
          <w:sz w:val="27"/>
        </w:rPr>
        <w:t xml:space="preserve">законами и иными нормативными правовыми актами Российской Федерации, Министерством осуществлялись профилактические мероприятия: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1) мониторинг законодательства о градостроительной деятельности, об участии в долевом строительстве многоквартирных домов и (или) </w:t>
      </w:r>
      <w:r>
        <w:rPr>
          <w:sz w:val="27"/>
        </w:rPr>
        <w:t xml:space="preserve">иных объектов недвижимости, законодательства, регулирующего деятельность жилищностроительных кооперативов, и вносимых в нормативные правовые акты изменений;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2) выявление преобладающих видов нарушений, допускаемых контролируемыми лицами;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3) размещение на оф</w:t>
      </w:r>
      <w:r>
        <w:rPr>
          <w:sz w:val="27"/>
        </w:rPr>
        <w:t xml:space="preserve">ициальном сайте Министерства в информационно-телекоммуникационной сети «Интернет» </w:t>
      </w:r>
      <w:r>
        <w:rPr>
          <w:sz w:val="27"/>
        </w:rPr>
        <w:t xml:space="preserve">https://mingrad.pnzreg.ru/</w:t>
      </w:r>
      <w:r>
        <w:rPr>
          <w:sz w:val="27"/>
        </w:rPr>
        <w:t xml:space="preserve">: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– перечней нормативных правовых актов или их отдельных частей, содержащих обязательные требования, оценка соблюдения которых является предметом ре</w:t>
      </w:r>
      <w:r>
        <w:rPr>
          <w:sz w:val="27"/>
        </w:rPr>
        <w:t xml:space="preserve">гионального государственного контроля (надзора);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– информации о проведенных проверках деятельности контролируемых лиц за исключением сведений, доступ к которым ограничен законодательством Российской Федерации;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4) подготовка и распространение комментариев о</w:t>
      </w:r>
      <w:r>
        <w:rPr>
          <w:sz w:val="27"/>
        </w:rPr>
        <w:t xml:space="preserve">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</w:t>
      </w:r>
      <w:r>
        <w:rPr>
          <w:sz w:val="27"/>
        </w:rPr>
        <w:t xml:space="preserve">й, направленных на внедрение и обеспечение соблюдения обязательных требований;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5) обобщение правоприменительной практики и размещение обобщений на официальном сайте Министерства в информационно-телекоммуникационной сети «Интернет» </w:t>
      </w:r>
      <w:r>
        <w:rPr>
          <w:sz w:val="27"/>
        </w:rPr>
        <w:t xml:space="preserve">https://mingrad.pnzreg.ru/</w:t>
      </w:r>
      <w:r>
        <w:rPr>
          <w:sz w:val="27"/>
        </w:rPr>
        <w:t xml:space="preserve">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6) выдача предостережений о недопустимости нарушения обязательных требований контролируемым лицам.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За 9 месяцев 2022 года Министерством выдано 8 предостережений о недопустимости нарушений обязательных требований.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cs="Times New Roman" w:eastAsia="Times New Roman"/>
          <w:sz w:val="27"/>
          <w:szCs w:val="28"/>
          <w:highlight w:val="white"/>
        </w:rPr>
      </w:pPr>
      <w:r>
        <w:rPr>
          <w:sz w:val="27"/>
          <w:highlight w:val="none"/>
        </w:rPr>
      </w:r>
      <w:r>
        <w:rPr>
          <w:sz w:val="27"/>
          <w:highlight w:val="none"/>
        </w:rPr>
      </w:r>
      <w:r/>
    </w:p>
    <w:p>
      <w:pPr>
        <w:ind w:firstLine="851"/>
        <w:jc w:val="center"/>
        <w:spacing w:after="0" w:line="240" w:lineRule="auto"/>
        <w:tabs>
          <w:tab w:val="left" w:pos="0" w:leader="none"/>
          <w:tab w:val="left" w:pos="284" w:leader="none"/>
        </w:tabs>
        <w:rPr>
          <w:b/>
          <w:sz w:val="27"/>
          <w:szCs w:val="28"/>
        </w:rPr>
      </w:pPr>
      <w:r>
        <w:rPr>
          <w:b/>
          <w:sz w:val="27"/>
        </w:rPr>
        <w:t xml:space="preserve">4. Цели и задачи реализации программы профи</w:t>
      </w:r>
      <w:r>
        <w:rPr>
          <w:b/>
          <w:sz w:val="27"/>
        </w:rPr>
        <w:t xml:space="preserve">лактики. </w:t>
      </w:r>
      <w:r>
        <w:rPr>
          <w:b/>
        </w:rPr>
      </w:r>
      <w:r/>
    </w:p>
    <w:p>
      <w:pPr>
        <w:ind w:firstLine="851"/>
        <w:jc w:val="center"/>
        <w:spacing w:after="0" w:line="240" w:lineRule="auto"/>
        <w:tabs>
          <w:tab w:val="left" w:pos="0" w:leader="none"/>
          <w:tab w:val="left" w:pos="284" w:leader="none"/>
        </w:tabs>
        <w:rPr>
          <w:b/>
          <w:sz w:val="27"/>
          <w:szCs w:val="28"/>
          <w:highlight w:val="none"/>
        </w:rPr>
      </w:pPr>
      <w:r>
        <w:rPr>
          <w:b/>
          <w:sz w:val="27"/>
          <w:highlight w:val="none"/>
        </w:rPr>
      </w:r>
      <w:r>
        <w:rPr>
          <w:b/>
          <w:sz w:val="27"/>
          <w:highlight w:val="none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Профилактика рисков причинения вреда (ущерба) охраняемым законом ценностям направлена на достижение следующих основных целей: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1) стимулирование добросовестного соблюдения обязательных требований всеми контролируемыми лицами;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2) устранение условий,</w:t>
      </w:r>
      <w:r>
        <w:rPr>
          <w:sz w:val="27"/>
        </w:rPr>
        <w:t xml:space="preserve">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3) создание условий для доведения обязательных требований до контролируемых лиц, повышение информированности о спосо</w:t>
      </w:r>
      <w:r>
        <w:rPr>
          <w:sz w:val="27"/>
        </w:rPr>
        <w:t xml:space="preserve">бах их соблюдения.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 Задачами реализации программы профилактики являются: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</w:rPr>
      </w:pPr>
      <w:r>
        <w:rPr>
          <w:sz w:val="27"/>
        </w:rPr>
        <w:t xml:space="preserve">1) предупреждение нарушений контролируемыми лицами обязательных требований; </w:t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sz w:val="27"/>
          <w:szCs w:val="28"/>
          <w:highlight w:val="none"/>
        </w:rPr>
      </w:pPr>
      <w:r>
        <w:rPr>
          <w:sz w:val="27"/>
        </w:rPr>
        <w:t xml:space="preserve">2) обеспечение защиты прав, законных интересов и имущества участников долевого строительства.</w:t>
      </w:r>
      <w:r>
        <w:rPr>
          <w:sz w:val="27"/>
        </w:rPr>
      </w:r>
      <w:r/>
    </w:p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cs="Times New Roman" w:eastAsia="Times New Roman"/>
          <w:sz w:val="27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7"/>
          <w:szCs w:val="28"/>
          <w:highlight w:val="none"/>
          <w:lang w:eastAsia="ru-RU"/>
        </w:rPr>
      </w:r>
      <w:r>
        <w:rPr>
          <w:rFonts w:ascii="Times New Roman" w:hAnsi="Times New Roman" w:cs="Times New Roman" w:eastAsia="Times New Roman"/>
          <w:sz w:val="27"/>
          <w:szCs w:val="28"/>
          <w:highlight w:val="none"/>
          <w:lang w:eastAsia="ru-RU"/>
        </w:rPr>
      </w:r>
      <w:r/>
    </w:p>
    <w:tbl>
      <w:tblPr>
        <w:tblStyle w:val="915"/>
        <w:tblW w:w="10346" w:type="dxa"/>
        <w:tblInd w:w="-568" w:type="dxa"/>
        <w:tblLayout w:type="fixed"/>
        <w:tblLook w:val="04A0" w:firstRow="1" w:lastRow="0" w:firstColumn="1" w:lastColumn="0" w:noHBand="0" w:noVBand="1"/>
      </w:tblPr>
      <w:tblGrid>
        <w:gridCol w:w="425"/>
        <w:gridCol w:w="4110"/>
        <w:gridCol w:w="2126"/>
        <w:gridCol w:w="1559"/>
        <w:gridCol w:w="2126"/>
      </w:tblGrid>
      <w:tr>
        <w:trPr/>
        <w:tc>
          <w:tcPr>
            <w:tcW w:w="425" w:type="dxa"/>
            <w:textDirection w:val="lrTb"/>
            <w:noWrap w:val="false"/>
          </w:tcPr>
          <w:p>
            <w:pPr>
              <w:ind w:left="589" w:right="-2" w:firstLine="0"/>
              <w:jc w:val="center"/>
              <w:tabs>
                <w:tab w:val="left" w:pos="709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/п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Наименование мероприятия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Ответственные исполнители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Ожидаемый результат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-2" w:firstLine="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Сроки исполнения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</w:pPr>
            <w:r>
              <w:rPr>
                <w:rFonts w:ascii="Times New Roman" w:hAnsi="Times New Roman" w:cs="Times New Roman" w:eastAsia="Times New Roman"/>
              </w:rPr>
            </w:r>
            <w:r>
              <w:t xml:space="preserve">Размещение и актуализация документов (информации) обязательной для размещения на официальном сайте Министерства, в том числе: </w:t>
            </w:r>
            <w:r/>
          </w:p>
          <w:p>
            <w:pPr>
              <w:ind w:right="-2"/>
              <w:jc w:val="both"/>
            </w:pPr>
            <w:r>
              <w:t xml:space="preserve">- тексты нормативных правовых актов, регулирующих осуществление регионального государственного контроля (надзора); </w:t>
            </w:r>
            <w:r/>
          </w:p>
          <w:p>
            <w:pPr>
              <w:ind w:right="-2"/>
              <w:jc w:val="both"/>
            </w:pPr>
            <w:r>
              <w:t xml:space="preserve">- сведения об из</w:t>
            </w:r>
            <w:r>
              <w:t xml:space="preserve">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      </w:r>
            <w:r/>
          </w:p>
          <w:p>
            <w:pPr>
              <w:ind w:right="-2"/>
              <w:jc w:val="both"/>
            </w:pPr>
            <w:r>
              <w:t xml:space="preserve">- перечень нормативных правовых актов с указанием структурных единиц этих</w:t>
            </w:r>
            <w:r>
              <w:t xml:space="preserve">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  <w:r/>
          </w:p>
          <w:p>
            <w:pPr>
              <w:ind w:right="-2"/>
              <w:jc w:val="both"/>
            </w:pPr>
            <w:r>
              <w:t xml:space="preserve">- руководства по соблюдению </w:t>
            </w:r>
            <w:r>
              <w:t xml:space="preserve">обязательных требований, разработанные и утвержденные в соответствии с Федеральным законом от 31.07.2020 № 247-ФЗ «Об обязательных требованиях в Российской Федерации»; </w:t>
            </w:r>
            <w:r/>
          </w:p>
          <w:p>
            <w:pPr>
              <w:ind w:right="-2"/>
              <w:jc w:val="both"/>
            </w:pPr>
            <w:r>
              <w:t xml:space="preserve">- перечень индикаторов риска нарушения обязательных требований; </w:t>
            </w:r>
            <w:r/>
          </w:p>
          <w:p>
            <w:pPr>
              <w:ind w:right="-2"/>
              <w:jc w:val="both"/>
            </w:pPr>
            <w:r>
              <w:t xml:space="preserve">- программа профилактики</w:t>
            </w:r>
            <w:r>
              <w:t xml:space="preserve"> рисков причинения вреда (ущерба) охраняемым законом ценностям 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недвижимости, региональном государственном контр</w:t>
            </w:r>
            <w:r>
              <w:t xml:space="preserve">оле (надзоре) за деятельностью жилищностроительных кооперативов, связанной с привлечением средств членов кооперативов для строительства многоквартирных домов Министерства строительства и дорожного хозяйства Пензенской области по на 2022 год; </w:t>
            </w:r>
            <w:r/>
          </w:p>
          <w:p>
            <w:pPr>
              <w:ind w:right="-2"/>
              <w:jc w:val="both"/>
            </w:pPr>
            <w:r>
              <w:t xml:space="preserve">- исчерпывающи</w:t>
            </w:r>
            <w:r>
              <w:t xml:space="preserve">й перечень сведений, которые могут запрашиваться контрольным (надзорным) органом у контролируемого лица </w:t>
            </w:r>
            <w:r/>
          </w:p>
          <w:p>
            <w:pPr>
              <w:ind w:right="-2"/>
              <w:jc w:val="both"/>
            </w:pPr>
            <w:r>
              <w:t xml:space="preserve">- сведения о способах получения консультации по вопросам соблюдения обязательных требований; </w:t>
            </w:r>
            <w:r/>
          </w:p>
          <w:p>
            <w:pPr>
              <w:ind w:right="-2"/>
              <w:jc w:val="both"/>
            </w:pPr>
            <w:r>
              <w:t xml:space="preserve">- сведения о порядке досудебного обжалования решений Минист</w:t>
            </w:r>
            <w:r>
              <w:t xml:space="preserve">ерства, действий (бездействия) его должностных лиц; </w:t>
            </w:r>
            <w:r/>
          </w:p>
          <w:p>
            <w:pPr>
              <w:ind w:right="-2"/>
              <w:jc w:val="both"/>
            </w:pPr>
            <w:r>
              <w:t xml:space="preserve">- доклады, содержащие результаты обобщения правоприменительной практики Министерства; </w:t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t xml:space="preserve">- доклад о региональном государственном контроле (надзоре) в области долевого строительства многоквартирных домов и (и</w:t>
            </w:r>
            <w:r>
              <w:t xml:space="preserve">ли) иных объектов недвижимости, региональном государственном контроле (надзоре) за деятельностью жилищно-строительных кооперативов, связанной с привлечением средств членов кооперативов для строительства многоквартирных домов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информированности контролируемых лиц о действующих обязательных требованиях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-108"/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01.01.2023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31.12.2023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мере необходимости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t xml:space="preserve">Размещение и актуализация на официальном сайте Министерства реестра объектов капитального строительства, в отношении ко</w:t>
            </w:r>
            <w:r>
              <w:t xml:space="preserve">торых осуществляется региональный государственный контроль (надзор)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жилищностроительных кооперативо</w:t>
            </w:r>
            <w:r>
              <w:t xml:space="preserve">в, связанной с привлечением средств членов кооперативов для строительства многоквартирных домов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Открытость органа государственного надзора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Ежемесячно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до 5 числа;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Консультирование контролируемых лиц (по телефону, посредством видео-кон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ференц-связи, на личном приеме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)  по вопросам:</w:t>
            </w:r>
            <w:r>
              <w:rPr>
                <w:rFonts w:ascii="Times New Roman" w:hAnsi="Times New Roman" w:cs="Times New Roman"/>
                <w:sz w:val="20"/>
              </w:rPr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- разъяснения положений нормативных правовых актов РФ, содержащих обязательные требования, соблюдения которых является предметом регионального государственного строительного надзора;</w:t>
            </w:r>
            <w:r>
              <w:rPr>
                <w:rFonts w:ascii="Times New Roman" w:hAnsi="Times New Roman" w:cs="Times New Roman"/>
                <w:sz w:val="20"/>
              </w:rPr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- разъяснения положения нормативных правовых актов РФ, регламентирующих порядок осуществления регионального государственного строительного надзора;</w:t>
            </w:r>
            <w:r>
              <w:rPr>
                <w:rFonts w:ascii="Times New Roman" w:hAnsi="Times New Roman" w:cs="Times New Roman"/>
                <w:sz w:val="20"/>
              </w:rPr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- порядок обжалования действий (бездействия) должностных лиц. </w:t>
            </w:r>
            <w:r>
              <w:rPr>
                <w:rFonts w:ascii="Times New Roman" w:hAnsi="Times New Roman" w:cs="Times New Roman"/>
                <w:sz w:val="20"/>
              </w:rPr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Учет проведенных консультаций 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Повышение информированности контролируемых лиц </w:t>
            </w:r>
            <w:r>
              <w:rPr>
                <w:rFonts w:ascii="Times New Roman" w:hAnsi="Times New Roman" w:cs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По мере поступления обращений от контролируемых лиц,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в соответствии с графиком консультаций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Объявление предостережений о недопустимости нарушений обязательных требований.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Учет объявленных предостережений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Должностные лица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Предотвращение нарушений обязательных требований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При наличии сведений о готовящихся или возможных нарушениях обязательных требований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t xml:space="preserve">Осуществление профилактического визита при поступлении в Министерство информации о регистрации первого договора участия в долевом строительстве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Должностные лица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Предотвращение нарушений обязательных требований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t xml:space="preserve">При поступлении в Министерство сведений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t xml:space="preserve">Разработка ежегодного Доклада о региональном государственном контроле (надзоре) в области долевого многоквартирных домов и (или) иных объектов недвижимости, региональном государственном контроле (надзоре) за деятельностью жилищно-строительных кооперативов,</w:t>
            </w:r>
            <w:r>
              <w:t xml:space="preserve"> связанной с привлечением средств членов кооперативов для строительства многоквартирных домов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прозрачности надзорного органа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09.01.2023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0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3.03.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2023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Разработка проекта ежегодного Доклада по обобщению правоприменительной практики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информированности контролируемых лиц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09.01.2023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по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01.02.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Подготовка отчета об исполнении программы профилактики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информированности контролируемых лиц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до 13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.02.2023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Обеспечение общественного обсуждения проекта Доклада по обобщению правоприменительной практики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информированности контролируемых лиц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01.02.2023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 28.02.2023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577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t xml:space="preserve">Утверждение и размещение Доклада о региональном государственном контроле (надзоре)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жилищностроительн</w:t>
            </w:r>
            <w:r>
              <w:t xml:space="preserve">ых кооперативов, связанной с привлечением средств членов кооперативов для строительства многоквартирных домов в электронной форме посредством государственной автоматизированной информационной системы «Управление»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прозрачности надзорного органа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 15.03.2023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284"/>
        </w:trPr>
        <w:tc>
          <w:tcPr>
            <w:shd w:val="clear" w:color="ffffff" w:fill="ffffff"/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Утверждение и размещение Доклада по обобщению правоприменительной практики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Повышение информированности контролируемых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лиц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shd w:val="clear" w:color="ffffff" w:fill="ffffff"/>
            <w:tcW w:w="2126" w:type="dxa"/>
            <w:textDirection w:val="lrTb"/>
            <w:noWrap w:val="false"/>
          </w:tcPr>
          <w:p>
            <w:pPr>
              <w:ind w:left="-109"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 15.03.2023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Разработка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проекта Программы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профилактики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рисков причинения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вреда (ущерба)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охраняемым законом ценностям в рамках осуществления </w:t>
            </w:r>
            <w:r>
              <w:t xml:space="preserve">регионального государственного контроля (надзора) в области долевого строительства многоквартирных домов и (или) иных объектов недвижимости, региональном государственном контроле (надзоре) за деятельностью жилищно-строительных кооперативов, связанной с при</w:t>
            </w:r>
            <w:r>
              <w:t xml:space="preserve">влечением средств членов кооперативов для строительства многоквартирных домов на 2024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Открытость органа государственного надзора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right="-108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30.09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Обеспечение об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щественного обсуждения проекта П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рограммы профилактики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 01.10.2023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 31.10.2023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Рассмотрение предложений, поданных в период общественного обсуждения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 Программы профилактики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, подготовка мотивированного заключения об их учете (в том числе частичном) или отклонении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с 01.11.2023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по 01.12.2023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Размещение на официальном сайте Министерства результатов общественного обсуждения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Программы профилактики 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(включая перечень предложений и мотивированных заключений об их учете (в том числе частичном) или отклонении)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 10.12.2023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Утверждение П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рограммы профилактики 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  <w:t xml:space="preserve">Министр (Заместитель Министра)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 20.12.2023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/>
        <w:tc>
          <w:tcPr>
            <w:tcW w:w="425" w:type="dxa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ind w:right="-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Размещение на официальн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ом сайте Министерства утвержденной П</w:t>
            </w: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рограммы профилактики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Начальник и заместитель начальника Управления (инспекции) государственного строительного надзора, долевого строительства и сохранности автомобильных дорог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34" w:right="-108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-2"/>
              <w:jc w:val="center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-108" w:right="-6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4"/>
                <w:lang w:eastAsia="ru-RU"/>
              </w:rPr>
              <w:t xml:space="preserve">В течение 5 дней со дня утверждения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</w:tbl>
    <w:p>
      <w:pPr>
        <w:ind w:firstLine="851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 w:eastAsia="Times New Roman"/>
          <w:sz w:val="28"/>
          <w:szCs w:val="28"/>
          <w:highlight w:val="none"/>
          <w:lang w:eastAsia="ru-RU"/>
        </w:rPr>
      </w:r>
      <w:r/>
    </w:p>
    <w:p>
      <w:pPr>
        <w:ind w:left="0" w:right="0" w:firstLine="851"/>
        <w:jc w:val="center"/>
        <w:spacing w:after="0"/>
        <w:rPr>
          <w:rFonts w:ascii="Times New Roman" w:hAnsi="Times New Roman" w:cs="Times New Roman"/>
          <w:b/>
          <w:sz w:val="27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7"/>
          <w:szCs w:val="28"/>
        </w:rPr>
        <w:t xml:space="preserve">6. Показатели результативности и эффективности </w:t>
      </w:r>
      <w:r>
        <w:rPr>
          <w:rFonts w:ascii="Times New Roman" w:hAnsi="Times New Roman" w:cs="Times New Roman"/>
          <w:b/>
          <w:bCs/>
          <w:sz w:val="27"/>
          <w:szCs w:val="28"/>
        </w:rPr>
        <w:t xml:space="preserve">программы профилактики рисков причинения вреда</w:t>
      </w:r>
      <w:r>
        <w:rPr>
          <w:rFonts w:ascii="Times New Roman" w:hAnsi="Times New Roman" w:cs="Times New Roman"/>
          <w:b/>
          <w:bCs/>
          <w:sz w:val="27"/>
          <w:szCs w:val="28"/>
        </w:rPr>
        <w:t xml:space="preserve">.</w:t>
      </w:r>
      <w:r>
        <w:rPr>
          <w:b/>
          <w:sz w:val="27"/>
        </w:rPr>
      </w:r>
      <w:r/>
    </w:p>
    <w:p>
      <w:pPr>
        <w:ind w:left="0" w:right="0" w:firstLine="851"/>
        <w:jc w:val="center"/>
        <w:spacing w:after="0"/>
        <w:rPr>
          <w:rFonts w:ascii="Times New Roman" w:hAnsi="Times New Roman" w:cs="Times New Roman"/>
          <w:b/>
          <w:sz w:val="27"/>
        </w:rPr>
      </w:pPr>
      <w:r>
        <w:rPr>
          <w:rFonts w:ascii="Times New Roman" w:hAnsi="Times New Roman" w:cs="Times New Roman"/>
          <w:b/>
          <w:bCs/>
          <w:sz w:val="27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7"/>
          <w:szCs w:val="28"/>
          <w:highlight w:val="none"/>
        </w:rPr>
      </w:r>
      <w:r/>
    </w:p>
    <w:p>
      <w:pPr>
        <w:pStyle w:val="907"/>
        <w:contextualSpacing/>
        <w:ind w:left="0" w:firstLine="851"/>
        <w:jc w:val="both"/>
        <w:spacing w:after="0"/>
        <w:rPr>
          <w:color w:val="auto"/>
          <w:sz w:val="27"/>
        </w:rPr>
      </w:pPr>
      <w:r>
        <w:rPr>
          <w:rFonts w:ascii="Times New Roman" w:hAnsi="Times New Roman" w:cs="Times New Roman" w:eastAsia="Times New Roman"/>
          <w:color w:val="auto"/>
          <w:sz w:val="27"/>
        </w:rPr>
      </w:r>
      <w:r>
        <w:rPr>
          <w:color w:val="auto"/>
          <w:sz w:val="27"/>
        </w:rPr>
        <w:t xml:space="preserve">Информация об осуществлении регионального государственного контроля (надзора) размещена на официальном сайте Министерства в главе «</w:t>
      </w:r>
      <w:r>
        <w:rPr>
          <w:color w:val="auto"/>
          <w:sz w:val="27"/>
        </w:rPr>
        <w:t xml:space="preserve">Управление (Инспекция) государственного строительного надзора, долевого строительства и сохранности автомобильных дорог</w:t>
      </w:r>
      <w:r>
        <w:rPr>
          <w:color w:val="auto"/>
          <w:sz w:val="27"/>
        </w:rPr>
        <w:t xml:space="preserve">» в разделе «</w:t>
      </w:r>
      <w:r>
        <w:rPr>
          <w:color w:val="auto"/>
          <w:sz w:val="27"/>
        </w:rPr>
        <w:t xml:space="preserve">Р</w:t>
      </w:r>
      <w:r>
        <w:rPr>
          <w:color w:val="auto"/>
          <w:sz w:val="27"/>
        </w:rPr>
        <w:t xml:space="preserve">егиональный государственный контроль (надзор) в области долевого строительства многоквартирных домов и (или) иных объектов недвижимости, а также о региональный государственный контроль (надзор) за деятельностью жилищно-строительных кооперативов, связанной </w:t>
      </w:r>
      <w:r>
        <w:rPr>
          <w:color w:val="auto"/>
          <w:sz w:val="27"/>
        </w:rPr>
        <w:t xml:space="preserve">с привлечением средств членов кооперативов для строительства многоквартирных домов на территории Пензенской области</w:t>
      </w:r>
      <w:r>
        <w:rPr>
          <w:color w:val="auto"/>
          <w:sz w:val="27"/>
        </w:rPr>
        <w:t xml:space="preserve">» по адресу: </w:t>
      </w:r>
      <w:r>
        <w:rPr>
          <w:color w:val="auto"/>
          <w:sz w:val="27"/>
        </w:rPr>
        <w:t xml:space="preserve">h</w:t>
      </w:r>
      <w:r>
        <w:rPr>
          <w:color w:val="auto"/>
          <w:sz w:val="27"/>
        </w:rPr>
        <w:t xml:space="preserve">ttps://mingrad.pnzreg.ru/deyatelnost-ministerstva/upravlenie-inspektsiya-gos-stroitelnogo-nadzora-i-sokhrannosti-avtomobilnykh-dorog/regionalnyy-gosudarstvennyy-kontrol-nadzor-v-oblasti-dolevogo-stroitelstva-mnogokvartirnykh-domov-i-/programma-profilaktiki</w:t>
      </w:r>
      <w:r>
        <w:rPr>
          <w:color w:val="auto"/>
          <w:sz w:val="27"/>
        </w:rPr>
        <w:t xml:space="preserve">-i-plan-provedeniya-knm/</w:t>
      </w:r>
      <w:r>
        <w:rPr>
          <w:color w:val="auto"/>
        </w:rPr>
      </w:r>
      <w:r/>
    </w:p>
    <w:p>
      <w:pPr>
        <w:pStyle w:val="907"/>
        <w:ind w:left="0" w:firstLine="851"/>
        <w:jc w:val="both"/>
        <w:spacing w:after="0"/>
        <w:rPr>
          <w:sz w:val="27"/>
        </w:rPr>
      </w:pPr>
      <w:r>
        <w:rPr>
          <w:sz w:val="27"/>
        </w:rPr>
        <w:t xml:space="preserve">Снижение рисков причинения вреда охраняемым законом ценностям может быть обеспечено за счет: </w:t>
      </w:r>
      <w:r/>
    </w:p>
    <w:p>
      <w:pPr>
        <w:pStyle w:val="907"/>
        <w:ind w:left="0" w:firstLine="851"/>
        <w:jc w:val="both"/>
        <w:spacing w:after="0"/>
        <w:rPr>
          <w:sz w:val="27"/>
        </w:rPr>
      </w:pPr>
      <w:r>
        <w:rPr>
          <w:sz w:val="27"/>
        </w:rPr>
        <w:t xml:space="preserve">- информированности контролируемых лиц об обязательных требованиях, о принятых и</w:t>
      </w:r>
      <w:r>
        <w:rPr>
          <w:sz w:val="27"/>
        </w:rPr>
        <w:t xml:space="preserve">зменениях, о порядке проведения контрольнонадзорных мероприятий, о правах контролируемых лиц в ходе контрольнонадзорных мероприятий; </w:t>
      </w:r>
      <w:r/>
    </w:p>
    <w:p>
      <w:pPr>
        <w:pStyle w:val="907"/>
        <w:ind w:left="0" w:firstLine="851"/>
        <w:jc w:val="both"/>
        <w:spacing w:after="0"/>
        <w:rPr>
          <w:sz w:val="27"/>
        </w:rPr>
      </w:pPr>
      <w:r>
        <w:rPr>
          <w:sz w:val="27"/>
        </w:rPr>
        <w:t xml:space="preserve">- разъяснений по применению обязательных требований, обеспечивающих их однозначное толкование, как контролируемыми лицами, </w:t>
      </w:r>
      <w:r>
        <w:rPr>
          <w:sz w:val="27"/>
        </w:rPr>
        <w:t xml:space="preserve">так и Министерством.</w:t>
      </w:r>
      <w:r/>
    </w:p>
    <w:p>
      <w:pPr>
        <w:pStyle w:val="907"/>
        <w:ind w:left="0" w:firstLine="851"/>
        <w:jc w:val="both"/>
        <w:spacing w:after="0"/>
        <w:rPr>
          <w:sz w:val="27"/>
        </w:rPr>
      </w:pPr>
      <w:r>
        <w:rPr>
          <w:sz w:val="27"/>
        </w:rPr>
        <w:t xml:space="preserve"> Основным показателем эффективности и результативности является соотношение количества договоров участия в долевом строительстве, заключенных гражданами в отношении жилых помещений в многоквартирных домах, признанных проблемными объекта</w:t>
      </w:r>
      <w:r>
        <w:rPr>
          <w:sz w:val="27"/>
        </w:rPr>
        <w:t xml:space="preserve">ми, и общего количества заключенных гражданами договоров участия в долевом строительстве в отношении жилых помещений в многоквартирных домах. </w:t>
      </w:r>
      <w:r/>
    </w:p>
    <w:p>
      <w:pPr>
        <w:pStyle w:val="907"/>
        <w:ind w:left="0" w:firstLine="851"/>
        <w:jc w:val="both"/>
        <w:spacing w:after="0"/>
        <w:rPr>
          <w:rFonts w:ascii="Times New Roman" w:hAnsi="Times New Roman" w:cs="Times New Roman" w:eastAsia="Times New Roman"/>
          <w:sz w:val="27"/>
        </w:rPr>
      </w:pPr>
      <w:r>
        <w:rPr>
          <w:sz w:val="27"/>
        </w:rPr>
        <w:t xml:space="preserve">Основным механизмом оценки эффективности и результативности профилактических мероприятий является увеличение колич</w:t>
      </w:r>
      <w:r>
        <w:rPr>
          <w:sz w:val="27"/>
        </w:rPr>
        <w:t xml:space="preserve">ества профилактических мероприятий и как следствие снижение количества нарушений обязательных требований. </w:t>
      </w:r>
      <w:r>
        <w:rPr>
          <w:sz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sz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p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/>
    </w:p>
    <w:sectPr>
      <w:headerReference w:type="default" r:id="rId9"/>
      <w:footnotePr>
        <w:numRestart w:val="eachPage"/>
      </w:footnotePr>
      <w:endnotePr>
        <w:numFmt w:val="decimal"/>
      </w:endnotePr>
      <w:type w:val="nextPage"/>
      <w:pgSz w:w="11907" w:h="16840" w:orient="portrait"/>
      <w:pgMar w:top="1134" w:right="851" w:bottom="426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52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4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64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55" w:hanging="180"/>
      </w:p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64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64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ascii="Wingdings" w:hAnsi="Wingdings" w:cs="Wingdings" w:eastAsia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eachPage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>
    <w:name w:val="Heading 1"/>
    <w:basedOn w:val="901"/>
    <w:next w:val="901"/>
    <w:link w:val="73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732">
    <w:name w:val="Heading 1 Char"/>
    <w:basedOn w:val="903"/>
    <w:link w:val="731"/>
    <w:uiPriority w:val="9"/>
    <w:rPr>
      <w:rFonts w:ascii="Arial" w:hAnsi="Arial" w:cs="Arial" w:eastAsia="Arial"/>
      <w:sz w:val="40"/>
      <w:szCs w:val="40"/>
    </w:rPr>
  </w:style>
  <w:style w:type="paragraph" w:styleId="733">
    <w:name w:val="Heading 2"/>
    <w:basedOn w:val="901"/>
    <w:next w:val="901"/>
    <w:link w:val="73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34">
    <w:name w:val="Heading 2 Char"/>
    <w:basedOn w:val="903"/>
    <w:link w:val="733"/>
    <w:uiPriority w:val="9"/>
    <w:rPr>
      <w:rFonts w:ascii="Arial" w:hAnsi="Arial" w:cs="Arial" w:eastAsia="Arial"/>
      <w:sz w:val="34"/>
    </w:rPr>
  </w:style>
  <w:style w:type="character" w:styleId="735">
    <w:name w:val="Heading 3 Char"/>
    <w:basedOn w:val="903"/>
    <w:link w:val="902"/>
    <w:uiPriority w:val="9"/>
    <w:rPr>
      <w:rFonts w:ascii="Arial" w:hAnsi="Arial" w:cs="Arial" w:eastAsia="Arial"/>
      <w:sz w:val="30"/>
      <w:szCs w:val="30"/>
    </w:rPr>
  </w:style>
  <w:style w:type="paragraph" w:styleId="736">
    <w:name w:val="Heading 4"/>
    <w:basedOn w:val="901"/>
    <w:next w:val="901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37">
    <w:name w:val="Heading 4 Char"/>
    <w:basedOn w:val="903"/>
    <w:link w:val="736"/>
    <w:uiPriority w:val="9"/>
    <w:rPr>
      <w:rFonts w:ascii="Arial" w:hAnsi="Arial" w:cs="Arial" w:eastAsia="Arial"/>
      <w:b/>
      <w:bCs/>
      <w:sz w:val="26"/>
      <w:szCs w:val="26"/>
    </w:rPr>
  </w:style>
  <w:style w:type="paragraph" w:styleId="738">
    <w:name w:val="Heading 5"/>
    <w:basedOn w:val="901"/>
    <w:next w:val="901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39">
    <w:name w:val="Heading 5 Char"/>
    <w:basedOn w:val="903"/>
    <w:link w:val="738"/>
    <w:uiPriority w:val="9"/>
    <w:rPr>
      <w:rFonts w:ascii="Arial" w:hAnsi="Arial" w:cs="Arial" w:eastAsia="Arial"/>
      <w:b/>
      <w:bCs/>
      <w:sz w:val="24"/>
      <w:szCs w:val="24"/>
    </w:rPr>
  </w:style>
  <w:style w:type="paragraph" w:styleId="740">
    <w:name w:val="Heading 6"/>
    <w:basedOn w:val="901"/>
    <w:next w:val="901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41">
    <w:name w:val="Heading 6 Char"/>
    <w:basedOn w:val="903"/>
    <w:link w:val="740"/>
    <w:uiPriority w:val="9"/>
    <w:rPr>
      <w:rFonts w:ascii="Arial" w:hAnsi="Arial" w:cs="Arial" w:eastAsia="Arial"/>
      <w:b/>
      <w:bCs/>
      <w:sz w:val="22"/>
      <w:szCs w:val="22"/>
    </w:rPr>
  </w:style>
  <w:style w:type="paragraph" w:styleId="742">
    <w:name w:val="Heading 7"/>
    <w:basedOn w:val="901"/>
    <w:next w:val="901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43">
    <w:name w:val="Heading 7 Char"/>
    <w:basedOn w:val="903"/>
    <w:link w:val="74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44">
    <w:name w:val="Heading 8"/>
    <w:basedOn w:val="901"/>
    <w:next w:val="901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45">
    <w:name w:val="Heading 8 Char"/>
    <w:basedOn w:val="903"/>
    <w:link w:val="744"/>
    <w:uiPriority w:val="9"/>
    <w:rPr>
      <w:rFonts w:ascii="Arial" w:hAnsi="Arial" w:cs="Arial" w:eastAsia="Arial"/>
      <w:i/>
      <w:iCs/>
      <w:sz w:val="22"/>
      <w:szCs w:val="22"/>
    </w:rPr>
  </w:style>
  <w:style w:type="paragraph" w:styleId="746">
    <w:name w:val="Heading 9"/>
    <w:basedOn w:val="901"/>
    <w:next w:val="901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47">
    <w:name w:val="Heading 9 Char"/>
    <w:basedOn w:val="903"/>
    <w:link w:val="746"/>
    <w:uiPriority w:val="9"/>
    <w:rPr>
      <w:rFonts w:ascii="Arial" w:hAnsi="Arial" w:cs="Arial" w:eastAsia="Arial"/>
      <w:i/>
      <w:iCs/>
      <w:sz w:val="21"/>
      <w:szCs w:val="21"/>
    </w:r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1"/>
    <w:next w:val="901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basedOn w:val="903"/>
    <w:link w:val="749"/>
    <w:uiPriority w:val="10"/>
    <w:rPr>
      <w:sz w:val="48"/>
      <w:szCs w:val="48"/>
    </w:rPr>
  </w:style>
  <w:style w:type="paragraph" w:styleId="751">
    <w:name w:val="Subtitle"/>
    <w:basedOn w:val="901"/>
    <w:next w:val="901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basedOn w:val="903"/>
    <w:link w:val="751"/>
    <w:uiPriority w:val="11"/>
    <w:rPr>
      <w:sz w:val="24"/>
      <w:szCs w:val="24"/>
    </w:rPr>
  </w:style>
  <w:style w:type="paragraph" w:styleId="753">
    <w:name w:val="Quote"/>
    <w:basedOn w:val="901"/>
    <w:next w:val="901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1"/>
    <w:next w:val="901"/>
    <w:link w:val="756"/>
    <w:uiPriority w:val="30"/>
    <w:qFormat/>
    <w:pPr>
      <w:contextualSpacing w:val="0"/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character" w:styleId="757">
    <w:name w:val="Header Char"/>
    <w:basedOn w:val="903"/>
    <w:link w:val="916"/>
    <w:uiPriority w:val="99"/>
  </w:style>
  <w:style w:type="character" w:styleId="758">
    <w:name w:val="Footer Char"/>
    <w:basedOn w:val="903"/>
    <w:link w:val="918"/>
    <w:uiPriority w:val="99"/>
  </w:style>
  <w:style w:type="paragraph" w:styleId="759">
    <w:name w:val="Caption"/>
    <w:basedOn w:val="901"/>
    <w:next w:val="9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0">
    <w:name w:val="Caption Char"/>
    <w:basedOn w:val="759"/>
    <w:link w:val="918"/>
    <w:uiPriority w:val="99"/>
  </w:style>
  <w:style w:type="table" w:styleId="761">
    <w:name w:val="Table Grid Light"/>
    <w:basedOn w:val="9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basedOn w:val="9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basedOn w:val="9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>
    <w:name w:val="Grid Table 1 Light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4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>
    <w:name w:val="Grid Table 4 - Accent 1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0">
    <w:name w:val="Grid Table 4 - Accent 2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Grid Table 4 - Accent 3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2">
    <w:name w:val="Grid Table 4 - Accent 4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Grid Table 4 - Accent 5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4">
    <w:name w:val="Grid Table 4 - Accent 6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5">
    <w:name w:val="Grid Table 5 Dark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96">
    <w:name w:val="Grid Table 5 Dark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802">
    <w:name w:val="Grid Table 6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3">
    <w:name w:val="Grid Table 6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4">
    <w:name w:val="Grid Table 6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5">
    <w:name w:val="Grid Table 6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6">
    <w:name w:val="Grid Table 6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7">
    <w:name w:val="Grid Table 6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6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7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4">
    <w:name w:val="List Table 2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5">
    <w:name w:val="List Table 2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6">
    <w:name w:val="List Table 2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7">
    <w:name w:val="List Table 2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8">
    <w:name w:val="List Table 2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9">
    <w:name w:val="List Table 2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0">
    <w:name w:val="List Table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5 Dark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6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2">
    <w:name w:val="List Table 6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3">
    <w:name w:val="List Table 6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4">
    <w:name w:val="List Table 6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5">
    <w:name w:val="List Table 6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6">
    <w:name w:val="List Table 6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7">
    <w:name w:val="List Table 6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8">
    <w:name w:val="List Table 7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9">
    <w:name w:val="List Table 7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0">
    <w:name w:val="List Table 7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1">
    <w:name w:val="List Table 7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2">
    <w:name w:val="List Table 7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3">
    <w:name w:val="List Table 7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4">
    <w:name w:val="List Table 7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5">
    <w:name w:val="Lined - Accent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6">
    <w:name w:val="Lined - Accent 1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7">
    <w:name w:val="Lined - Accent 2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8">
    <w:name w:val="Lined - Accent 3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9">
    <w:name w:val="Lined - Accent 4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0">
    <w:name w:val="Lined - Accent 5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1">
    <w:name w:val="Lined - Accent 6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2">
    <w:name w:val="Bordered &amp; Lined - Accent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3">
    <w:name w:val="Bordered &amp; Lined - Accent 1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4">
    <w:name w:val="Bordered &amp; Lined - Accent 2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5">
    <w:name w:val="Bordered &amp; Lined - Accent 3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6">
    <w:name w:val="Bordered &amp; Lined - Accent 4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7">
    <w:name w:val="Bordered &amp; Lined - Accent 5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8">
    <w:name w:val="Bordered &amp; Lined - Accent 6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79">
    <w:name w:val="Bordered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0">
    <w:name w:val="Bordered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1">
    <w:name w:val="Bordered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2">
    <w:name w:val="Bordered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3">
    <w:name w:val="Bordered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4">
    <w:name w:val="Bordered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5">
    <w:name w:val="Bordered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6">
    <w:name w:val="Footnote Text Char"/>
    <w:link w:val="920"/>
    <w:uiPriority w:val="99"/>
    <w:rPr>
      <w:sz w:val="18"/>
    </w:rPr>
  </w:style>
  <w:style w:type="paragraph" w:styleId="887">
    <w:name w:val="endnote text"/>
    <w:basedOn w:val="901"/>
    <w:link w:val="888"/>
    <w:uiPriority w:val="99"/>
    <w:semiHidden/>
    <w:unhideWhenUsed/>
    <w:pPr>
      <w:spacing w:after="0" w:line="240" w:lineRule="auto"/>
    </w:pPr>
    <w:rPr>
      <w:sz w:val="20"/>
    </w:rPr>
  </w:style>
  <w:style w:type="character" w:styleId="888">
    <w:name w:val="Endnote Text Char"/>
    <w:link w:val="887"/>
    <w:uiPriority w:val="99"/>
    <w:rPr>
      <w:sz w:val="20"/>
    </w:rPr>
  </w:style>
  <w:style w:type="character" w:styleId="889">
    <w:name w:val="endnote reference"/>
    <w:basedOn w:val="903"/>
    <w:uiPriority w:val="99"/>
    <w:semiHidden/>
    <w:unhideWhenUsed/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ind w:left="0" w:right="0" w:firstLine="0"/>
      <w:spacing w:after="57"/>
    </w:pPr>
  </w:style>
  <w:style w:type="paragraph" w:styleId="891">
    <w:name w:val="toc 2"/>
    <w:basedOn w:val="901"/>
    <w:next w:val="901"/>
    <w:uiPriority w:val="39"/>
    <w:unhideWhenUsed/>
    <w:pPr>
      <w:ind w:left="283" w:right="0" w:firstLine="0"/>
      <w:spacing w:after="57"/>
    </w:pPr>
  </w:style>
  <w:style w:type="paragraph" w:styleId="892">
    <w:name w:val="toc 3"/>
    <w:basedOn w:val="901"/>
    <w:next w:val="901"/>
    <w:uiPriority w:val="39"/>
    <w:unhideWhenUsed/>
    <w:pPr>
      <w:ind w:left="567" w:right="0" w:firstLine="0"/>
      <w:spacing w:after="57"/>
    </w:pPr>
  </w:style>
  <w:style w:type="paragraph" w:styleId="893">
    <w:name w:val="toc 4"/>
    <w:basedOn w:val="901"/>
    <w:next w:val="901"/>
    <w:uiPriority w:val="39"/>
    <w:unhideWhenUsed/>
    <w:pPr>
      <w:ind w:left="850" w:right="0" w:firstLine="0"/>
      <w:spacing w:after="57"/>
    </w:pPr>
  </w:style>
  <w:style w:type="paragraph" w:styleId="894">
    <w:name w:val="toc 5"/>
    <w:basedOn w:val="901"/>
    <w:next w:val="901"/>
    <w:uiPriority w:val="39"/>
    <w:unhideWhenUsed/>
    <w:pPr>
      <w:ind w:left="1134" w:right="0" w:firstLine="0"/>
      <w:spacing w:after="57"/>
    </w:pPr>
  </w:style>
  <w:style w:type="paragraph" w:styleId="895">
    <w:name w:val="toc 6"/>
    <w:basedOn w:val="901"/>
    <w:next w:val="901"/>
    <w:uiPriority w:val="39"/>
    <w:unhideWhenUsed/>
    <w:pPr>
      <w:ind w:left="1417" w:right="0" w:firstLine="0"/>
      <w:spacing w:after="57"/>
    </w:pPr>
  </w:style>
  <w:style w:type="paragraph" w:styleId="896">
    <w:name w:val="toc 7"/>
    <w:basedOn w:val="901"/>
    <w:next w:val="901"/>
    <w:uiPriority w:val="39"/>
    <w:unhideWhenUsed/>
    <w:pPr>
      <w:ind w:left="1701" w:right="0" w:firstLine="0"/>
      <w:spacing w:after="57"/>
    </w:pPr>
  </w:style>
  <w:style w:type="paragraph" w:styleId="897">
    <w:name w:val="toc 8"/>
    <w:basedOn w:val="901"/>
    <w:next w:val="901"/>
    <w:uiPriority w:val="39"/>
    <w:unhideWhenUsed/>
    <w:pPr>
      <w:ind w:left="1984" w:right="0" w:firstLine="0"/>
      <w:spacing w:after="57"/>
    </w:pPr>
  </w:style>
  <w:style w:type="paragraph" w:styleId="898">
    <w:name w:val="toc 9"/>
    <w:basedOn w:val="901"/>
    <w:next w:val="901"/>
    <w:uiPriority w:val="39"/>
    <w:unhideWhenUsed/>
    <w:pPr>
      <w:ind w:left="2268" w:right="0" w:firstLine="0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basedOn w:val="901"/>
    <w:next w:val="901"/>
    <w:uiPriority w:val="99"/>
    <w:unhideWhenUsed/>
    <w:pPr>
      <w:spacing w:after="0" w:afterAutospacing="0"/>
    </w:pPr>
  </w:style>
  <w:style w:type="paragraph" w:styleId="901" w:default="1">
    <w:name w:val="Normal"/>
    <w:qFormat/>
    <w:pPr>
      <w:spacing w:after="0" w:line="240" w:lineRule="auto"/>
    </w:pPr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902">
    <w:name w:val="Heading 3"/>
    <w:basedOn w:val="901"/>
    <w:next w:val="901"/>
    <w:link w:val="906"/>
    <w:unhideWhenUsed/>
    <w:qFormat/>
    <w:pPr>
      <w:jc w:val="center"/>
      <w:keepNext/>
      <w:outlineLvl w:val="2"/>
    </w:pPr>
    <w:rPr>
      <w:b/>
      <w:sz w:val="40"/>
    </w:rPr>
  </w:style>
  <w:style w:type="character" w:styleId="903" w:default="1">
    <w:name w:val="Default Paragraph Font"/>
    <w:uiPriority w:val="1"/>
    <w:unhideWhenUsed/>
  </w:style>
  <w:style w:type="table" w:styleId="9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5" w:default="1">
    <w:name w:val="No List"/>
    <w:uiPriority w:val="99"/>
    <w:semiHidden/>
    <w:unhideWhenUsed/>
  </w:style>
  <w:style w:type="character" w:styleId="906" w:customStyle="1">
    <w:name w:val="Заголовок 3 Знак"/>
    <w:basedOn w:val="903"/>
    <w:link w:val="902"/>
    <w:rPr>
      <w:rFonts w:ascii="Times New Roman" w:hAnsi="Times New Roman" w:cs="Times New Roman" w:eastAsia="Times New Roman"/>
      <w:b/>
      <w:sz w:val="40"/>
      <w:szCs w:val="20"/>
      <w:lang w:eastAsia="ru-RU"/>
    </w:rPr>
  </w:style>
  <w:style w:type="paragraph" w:styleId="907">
    <w:name w:val="List Paragraph"/>
    <w:basedOn w:val="901"/>
    <w:uiPriority w:val="34"/>
    <w:qFormat/>
    <w:pPr>
      <w:contextualSpacing/>
      <w:ind w:left="720"/>
    </w:pPr>
  </w:style>
  <w:style w:type="paragraph" w:styleId="908" w:customStyle="1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909" w:customStyle="1">
    <w:name w:val="ConsPlusTitle"/>
    <w:pPr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910">
    <w:name w:val="Balloon Text"/>
    <w:basedOn w:val="901"/>
    <w:link w:val="911"/>
    <w:uiPriority w:val="99"/>
    <w:semiHidden/>
    <w:unhideWhenUsed/>
    <w:rPr>
      <w:rFonts w:ascii="Tahoma" w:hAnsi="Tahoma" w:cs="Tahoma"/>
      <w:sz w:val="16"/>
      <w:szCs w:val="16"/>
    </w:rPr>
  </w:style>
  <w:style w:type="character" w:styleId="911" w:customStyle="1">
    <w:name w:val="Текст выноски Знак"/>
    <w:basedOn w:val="903"/>
    <w:link w:val="910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912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="Times New Roman"/>
      <w:sz w:val="20"/>
      <w:szCs w:val="20"/>
      <w:lang w:eastAsia="ru-RU"/>
    </w:rPr>
  </w:style>
  <w:style w:type="paragraph" w:styleId="913" w:customStyle="1">
    <w:name w:val="ConsPlusTitlePage"/>
    <w:pPr>
      <w:spacing w:after="0" w:line="240" w:lineRule="auto"/>
      <w:widowControl w:val="off"/>
    </w:pPr>
    <w:rPr>
      <w:rFonts w:ascii="Tahoma" w:hAnsi="Tahoma" w:cs="Tahoma" w:eastAsia="Times New Roman"/>
      <w:sz w:val="20"/>
      <w:szCs w:val="20"/>
      <w:lang w:eastAsia="ru-RU"/>
    </w:rPr>
  </w:style>
  <w:style w:type="table" w:styleId="914" w:customStyle="1">
    <w:name w:val="Сетка таблицы1"/>
    <w:basedOn w:val="904"/>
    <w:next w:val="915"/>
    <w:pPr>
      <w:spacing w:after="0" w:line="240" w:lineRule="auto"/>
    </w:pPr>
    <w:rPr>
      <w:rFonts w:ascii="Times New Roman" w:hAnsi="Times New Roman" w:cs="Times New Roman" w:eastAsia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5">
    <w:name w:val="Table Grid"/>
    <w:basedOn w:val="90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6">
    <w:name w:val="Header"/>
    <w:basedOn w:val="901"/>
    <w:link w:val="91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7" w:customStyle="1">
    <w:name w:val="Верхний колонтитул Знак"/>
    <w:basedOn w:val="903"/>
    <w:link w:val="916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918">
    <w:name w:val="Footer"/>
    <w:basedOn w:val="901"/>
    <w:link w:val="9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9" w:customStyle="1">
    <w:name w:val="Нижний колонтитул Знак"/>
    <w:basedOn w:val="903"/>
    <w:link w:val="918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paragraph" w:styleId="920">
    <w:name w:val="footnote text"/>
    <w:basedOn w:val="901"/>
    <w:link w:val="921"/>
    <w:uiPriority w:val="99"/>
    <w:semiHidden/>
    <w:unhideWhenUsed/>
  </w:style>
  <w:style w:type="character" w:styleId="921" w:customStyle="1">
    <w:name w:val="Текст сноски Знак"/>
    <w:basedOn w:val="903"/>
    <w:link w:val="920"/>
    <w:uiPriority w:val="99"/>
    <w:semiHidden/>
    <w:rPr>
      <w:rFonts w:ascii="Times New Roman" w:hAnsi="Times New Roman" w:cs="Times New Roman" w:eastAsia="Times New Roman"/>
      <w:sz w:val="20"/>
      <w:szCs w:val="20"/>
      <w:lang w:eastAsia="ru-RU"/>
    </w:rPr>
  </w:style>
  <w:style w:type="character" w:styleId="922">
    <w:name w:val="footnote reference"/>
    <w:semiHidden/>
    <w:unhideWhenUsed/>
    <w:rPr>
      <w:vertAlign w:val="superscript"/>
    </w:rPr>
  </w:style>
  <w:style w:type="character" w:styleId="923">
    <w:name w:val="Hyperlink"/>
    <w:basedOn w:val="903"/>
    <w:uiPriority w:val="99"/>
    <w:semiHidden/>
    <w:unhideWhenUsed/>
    <w:rPr>
      <w:color w:val="0000FF" w:themeColor="hyperlink"/>
      <w:u w:val="single"/>
    </w:rPr>
  </w:style>
  <w:style w:type="paragraph" w:styleId="924">
    <w:name w:val="Обычный"/>
    <w:pPr>
      <w:contextualSpacing w:val="0"/>
      <w:ind w:left="0" w:right="0" w:firstLine="709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 w:fill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8"/>
      <w:szCs w:val="28"/>
      <w:highlight w:val="none"/>
      <w:u w:val="none"/>
      <w:vertAlign w:val="baseline"/>
      <w:rtl w:val="false"/>
      <w:cs w:val="false"/>
      <w:lang w:val="ru-RU" w:bidi="ar-SA" w:eastAsia="en-US"/>
    </w:rPr>
  </w:style>
  <w:style w:type="paragraph" w:styleId="925">
    <w:name w:val="Стандартный HTM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 w:fill="000000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Times New Roman" w:eastAsia="Times New Roman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en-US" w:bidi="ar-SA" w:eastAsia="en-US"/>
    </w:rPr>
  </w:style>
  <w:style w:type="paragraph" w:styleId="926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 w:fill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="Calibri"/>
      <w:b w:val="0"/>
      <w:bCs w:val="0"/>
      <w:i w:val="0"/>
      <w:iCs w:val="0"/>
      <w:caps w:val="0"/>
      <w:smallCaps w:val="0"/>
      <w:strike w:val="false"/>
      <w:vanish w:val="false"/>
      <w:color w:val="000000"/>
      <w:spacing w:val="0"/>
      <w:position w:val="0"/>
      <w:sz w:val="24"/>
      <w:szCs w:val="24"/>
      <w:highlight w:val="none"/>
      <w:u w:val="none"/>
      <w:vertAlign w:val="baseline"/>
      <w:rtl w:val="false"/>
      <w:cs w:val="false"/>
      <w:lang w:val="ru-RU" w:bidi="ar-S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Татьяна Викторовна</dc:creator>
  <cp:revision>25</cp:revision>
  <dcterms:created xsi:type="dcterms:W3CDTF">2021-10-01T08:18:00Z</dcterms:created>
  <dcterms:modified xsi:type="dcterms:W3CDTF">2023-03-27T07:07:27Z</dcterms:modified>
</cp:coreProperties>
</file>